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3"/>
        <w:rPr>
          <w:rFonts w:hint="default" w:eastAsia="宋体"/>
          <w:color w:val="auto"/>
          <w:sz w:val="24"/>
          <w:lang w:val="en-US" w:eastAsia="zh-CN"/>
        </w:rPr>
      </w:pPr>
      <w:r>
        <w:rPr>
          <w:rFonts w:hint="eastAsia"/>
          <w:color w:val="auto"/>
          <w:sz w:val="24"/>
        </w:rPr>
        <w:tab/>
      </w:r>
    </w:p>
    <w:p>
      <w:pPr>
        <w:jc w:val="center"/>
        <w:rPr>
          <w:b/>
          <w:bCs/>
          <w:color w:val="auto"/>
          <w:sz w:val="84"/>
        </w:rPr>
      </w:pPr>
      <w:r>
        <w:rPr>
          <w:b/>
          <w:bCs/>
          <w:color w:val="auto"/>
          <w:sz w:val="84"/>
        </w:rPr>
        <w:t>广东省</w:t>
      </w:r>
    </w:p>
    <w:p>
      <w:pPr>
        <w:pStyle w:val="29"/>
        <w:rPr>
          <w:color w:val="auto"/>
        </w:rPr>
      </w:pPr>
    </w:p>
    <w:p>
      <w:pPr>
        <w:pStyle w:val="29"/>
        <w:rPr>
          <w:rFonts w:hint="eastAsia"/>
          <w:color w:val="auto"/>
        </w:rPr>
      </w:pPr>
    </w:p>
    <w:p>
      <w:pPr>
        <w:pStyle w:val="2"/>
        <w:rPr>
          <w:color w:val="auto"/>
        </w:rPr>
      </w:pPr>
    </w:p>
    <w:p>
      <w:pPr>
        <w:pStyle w:val="4"/>
        <w:tabs>
          <w:tab w:val="left" w:pos="2879"/>
          <w:tab w:val="left" w:pos="6400"/>
        </w:tabs>
        <w:spacing w:before="0" w:line="364" w:lineRule="auto"/>
        <w:ind w:left="460"/>
        <w:rPr>
          <w:rFonts w:hint="eastAsia"/>
          <w:b/>
          <w:bCs/>
          <w:color w:val="auto"/>
          <w:u w:val="none"/>
          <w:lang w:eastAsia="zh-CN"/>
        </w:rPr>
      </w:pPr>
      <w:r>
        <w:rPr>
          <w:rFonts w:hint="eastAsia"/>
          <w:b/>
          <w:bCs/>
          <w:color w:val="auto"/>
          <w:u w:val="none"/>
          <w:lang w:eastAsia="zh-CN"/>
        </w:rPr>
        <w:t>陆丰市金厢镇洲渚村环村东路道路工程</w:t>
      </w:r>
    </w:p>
    <w:p>
      <w:pPr>
        <w:pStyle w:val="13"/>
        <w:rPr>
          <w:color w:val="auto"/>
          <w:sz w:val="44"/>
        </w:rPr>
      </w:pPr>
    </w:p>
    <w:p>
      <w:pPr>
        <w:pStyle w:val="13"/>
        <w:rPr>
          <w:color w:val="auto"/>
          <w:sz w:val="44"/>
        </w:rPr>
      </w:pPr>
    </w:p>
    <w:p>
      <w:pPr>
        <w:pStyle w:val="13"/>
        <w:tabs>
          <w:tab w:val="left" w:pos="9017"/>
        </w:tabs>
        <w:spacing w:before="7"/>
        <w:rPr>
          <w:color w:val="auto"/>
          <w:sz w:val="33"/>
        </w:rPr>
      </w:pPr>
      <w:r>
        <w:rPr>
          <w:rFonts w:hint="eastAsia"/>
          <w:color w:val="auto"/>
          <w:sz w:val="33"/>
        </w:rPr>
        <w:tab/>
      </w:r>
    </w:p>
    <w:p>
      <w:pPr>
        <w:spacing w:before="1"/>
        <w:ind w:left="3210"/>
        <w:rPr>
          <w:b/>
          <w:bCs/>
          <w:color w:val="auto"/>
          <w:sz w:val="84"/>
        </w:rPr>
      </w:pPr>
      <w:r>
        <w:rPr>
          <w:b/>
          <w:bCs/>
          <w:color w:val="auto"/>
          <w:sz w:val="84"/>
        </w:rPr>
        <w:t>招标文件</w:t>
      </w:r>
    </w:p>
    <w:p>
      <w:pPr>
        <w:pStyle w:val="13"/>
        <w:rPr>
          <w:color w:val="auto"/>
          <w:sz w:val="84"/>
        </w:rPr>
      </w:pPr>
    </w:p>
    <w:p>
      <w:pPr>
        <w:pStyle w:val="13"/>
        <w:rPr>
          <w:color w:val="auto"/>
          <w:sz w:val="32"/>
          <w:szCs w:val="32"/>
        </w:rPr>
      </w:pPr>
    </w:p>
    <w:p>
      <w:pPr>
        <w:pStyle w:val="13"/>
        <w:rPr>
          <w:color w:val="auto"/>
          <w:sz w:val="84"/>
        </w:rPr>
      </w:pPr>
    </w:p>
    <w:p>
      <w:pPr>
        <w:pStyle w:val="14"/>
        <w:rPr>
          <w:color w:val="auto"/>
        </w:rPr>
      </w:pPr>
    </w:p>
    <w:p>
      <w:pPr>
        <w:pStyle w:val="7"/>
        <w:tabs>
          <w:tab w:val="left" w:pos="6095"/>
          <w:tab w:val="left" w:pos="6138"/>
        </w:tabs>
        <w:spacing w:before="664" w:line="242" w:lineRule="auto"/>
        <w:ind w:right="90" w:firstLine="1200" w:firstLineChars="400"/>
        <w:jc w:val="both"/>
        <w:rPr>
          <w:color w:val="auto"/>
          <w:spacing w:val="-15"/>
          <w:u w:val="single"/>
          <w:lang w:val="en-US"/>
        </w:rPr>
      </w:pPr>
      <w:r>
        <w:rPr>
          <w:color w:val="auto"/>
        </w:rPr>
        <w:t>招标人：</w:t>
      </w:r>
      <w:r>
        <w:rPr>
          <w:rFonts w:hint="eastAsia"/>
          <w:color w:val="auto"/>
          <w:u w:val="single"/>
          <w:lang w:val="en-US" w:eastAsia="zh-CN"/>
        </w:rPr>
        <w:t>陆丰市金厢镇人民政府</w:t>
      </w:r>
      <w:r>
        <w:rPr>
          <w:color w:val="auto"/>
          <w:u w:val="single"/>
        </w:rPr>
        <w:t>（盖单位章）</w:t>
      </w:r>
    </w:p>
    <w:p>
      <w:pPr>
        <w:pStyle w:val="7"/>
        <w:tabs>
          <w:tab w:val="left" w:pos="6095"/>
          <w:tab w:val="left" w:pos="6138"/>
        </w:tabs>
        <w:spacing w:before="664" w:line="242" w:lineRule="auto"/>
        <w:ind w:right="90" w:firstLine="1200" w:firstLineChars="400"/>
        <w:jc w:val="both"/>
        <w:rPr>
          <w:color w:val="auto"/>
        </w:rPr>
      </w:pPr>
      <w:r>
        <w:rPr>
          <w:color w:val="auto"/>
        </w:rPr>
        <w:t>招标代理：</w:t>
      </w:r>
      <w:r>
        <w:rPr>
          <w:rFonts w:hint="eastAsia"/>
          <w:color w:val="auto"/>
          <w:u w:val="single"/>
          <w:lang w:val="en-US" w:eastAsia="zh-CN"/>
        </w:rPr>
        <w:t>广东广通采购招标有限公司</w:t>
      </w:r>
      <w:r>
        <w:rPr>
          <w:color w:val="auto"/>
          <w:u w:val="single"/>
        </w:rPr>
        <w:t>（盖单位章）</w:t>
      </w:r>
    </w:p>
    <w:p>
      <w:pPr>
        <w:pStyle w:val="13"/>
        <w:rPr>
          <w:color w:val="auto"/>
          <w:sz w:val="20"/>
        </w:rPr>
      </w:pPr>
    </w:p>
    <w:p>
      <w:pPr>
        <w:pStyle w:val="13"/>
        <w:rPr>
          <w:color w:val="auto"/>
          <w:sz w:val="20"/>
        </w:rPr>
      </w:pPr>
    </w:p>
    <w:p>
      <w:pPr>
        <w:pStyle w:val="13"/>
        <w:spacing w:before="9"/>
        <w:rPr>
          <w:color w:val="auto"/>
          <w:sz w:val="15"/>
        </w:rPr>
      </w:pPr>
    </w:p>
    <w:p>
      <w:pPr>
        <w:pStyle w:val="7"/>
        <w:tabs>
          <w:tab w:val="left" w:pos="599"/>
          <w:tab w:val="left" w:pos="1499"/>
        </w:tabs>
        <w:spacing w:before="39"/>
        <w:ind w:right="263"/>
        <w:jc w:val="center"/>
        <w:rPr>
          <w:rFonts w:ascii="Times New Roman"/>
          <w:color w:val="auto"/>
          <w:u w:val="single"/>
          <w:lang w:val="en-US"/>
        </w:rPr>
      </w:pPr>
      <w:r>
        <w:rPr>
          <w:rFonts w:hint="eastAsia" w:ascii="Times New Roman"/>
          <w:color w:val="auto"/>
          <w:u w:val="single"/>
          <w:lang w:val="en-US" w:eastAsia="zh-CN"/>
        </w:rPr>
        <w:t>2024</w:t>
      </w:r>
      <w:r>
        <w:rPr>
          <w:rFonts w:hint="eastAsia" w:ascii="Times New Roman"/>
          <w:color w:val="auto"/>
          <w:lang w:val="en-US"/>
        </w:rPr>
        <w:t>年</w:t>
      </w:r>
      <w:r>
        <w:rPr>
          <w:rFonts w:hint="eastAsia" w:ascii="Times New Roman"/>
          <w:color w:val="auto"/>
          <w:u w:val="single"/>
          <w:lang w:val="en-US" w:eastAsia="zh-CN"/>
        </w:rPr>
        <w:t>06</w:t>
      </w:r>
      <w:r>
        <w:rPr>
          <w:rFonts w:hint="eastAsia" w:ascii="Times New Roman"/>
          <w:color w:val="auto"/>
          <w:lang w:val="en-US"/>
        </w:rPr>
        <w:t>月</w:t>
      </w:r>
    </w:p>
    <w:p>
      <w:pPr>
        <w:jc w:val="center"/>
        <w:rPr>
          <w:color w:val="auto"/>
        </w:rPr>
      </w:pPr>
    </w:p>
    <w:p>
      <w:pPr>
        <w:tabs>
          <w:tab w:val="left" w:pos="3002"/>
        </w:tabs>
        <w:rPr>
          <w:color w:val="auto"/>
        </w:rPr>
        <w:sectPr>
          <w:headerReference r:id="rId3" w:type="default"/>
          <w:headerReference r:id="rId4" w:type="even"/>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spacing w:before="192"/>
        <w:ind w:left="2033" w:right="2546"/>
        <w:jc w:val="center"/>
        <w:rPr>
          <w:b/>
          <w:bCs/>
          <w:color w:val="auto"/>
          <w:sz w:val="40"/>
          <w:szCs w:val="24"/>
        </w:rPr>
      </w:pPr>
      <w:r>
        <w:rPr>
          <w:b/>
          <w:bCs/>
          <w:color w:val="auto"/>
          <w:sz w:val="40"/>
          <w:szCs w:val="24"/>
        </w:rPr>
        <w:t>目录</w:t>
      </w:r>
    </w:p>
    <w:p>
      <w:pPr>
        <w:pStyle w:val="10"/>
        <w:spacing w:before="316"/>
        <w:ind w:left="2053" w:right="2546"/>
        <w:jc w:val="center"/>
        <w:rPr>
          <w:color w:val="auto"/>
          <w:sz w:val="21"/>
          <w:szCs w:val="21"/>
        </w:rPr>
      </w:pPr>
    </w:p>
    <w:p>
      <w:pPr>
        <w:pStyle w:val="10"/>
        <w:spacing w:before="316"/>
        <w:ind w:left="2053" w:right="2546"/>
        <w:jc w:val="center"/>
        <w:rPr>
          <w:color w:val="auto"/>
        </w:rPr>
      </w:pPr>
      <w:r>
        <w:rPr>
          <w:color w:val="auto"/>
        </w:rPr>
        <w:t>第一卷</w:t>
      </w:r>
    </w:p>
    <w:p>
      <w:pPr>
        <w:pStyle w:val="13"/>
        <w:rPr>
          <w:color w:val="auto"/>
          <w:sz w:val="24"/>
        </w:rPr>
      </w:pPr>
    </w:p>
    <w:p>
      <w:pPr>
        <w:numPr>
          <w:ilvl w:val="0"/>
          <w:numId w:val="1"/>
        </w:numPr>
        <w:tabs>
          <w:tab w:val="left" w:pos="2765"/>
        </w:tabs>
        <w:spacing w:before="1" w:line="530" w:lineRule="auto"/>
        <w:ind w:left="1440" w:right="3256"/>
        <w:rPr>
          <w:color w:val="auto"/>
          <w:spacing w:val="20"/>
          <w:sz w:val="24"/>
        </w:rPr>
      </w:pPr>
      <w:r>
        <w:rPr>
          <w:color w:val="auto"/>
          <w:spacing w:val="20"/>
          <w:sz w:val="24"/>
        </w:rPr>
        <w:t>招标公告</w:t>
      </w:r>
    </w:p>
    <w:p>
      <w:pPr>
        <w:numPr>
          <w:ilvl w:val="0"/>
          <w:numId w:val="1"/>
        </w:numPr>
        <w:tabs>
          <w:tab w:val="left" w:pos="2765"/>
        </w:tabs>
        <w:spacing w:before="1" w:line="530" w:lineRule="auto"/>
        <w:ind w:left="1440" w:right="3256"/>
        <w:rPr>
          <w:color w:val="auto"/>
          <w:sz w:val="24"/>
        </w:rPr>
      </w:pPr>
      <w:r>
        <w:rPr>
          <w:color w:val="auto"/>
          <w:spacing w:val="20"/>
          <w:sz w:val="24"/>
        </w:rPr>
        <w:t>投标人须知</w:t>
      </w:r>
    </w:p>
    <w:p>
      <w:pPr>
        <w:tabs>
          <w:tab w:val="left" w:pos="2765"/>
        </w:tabs>
        <w:spacing w:before="1"/>
        <w:ind w:left="1440"/>
        <w:rPr>
          <w:rFonts w:hint="eastAsia"/>
          <w:color w:val="auto"/>
          <w:spacing w:val="20"/>
          <w:sz w:val="24"/>
          <w:lang w:eastAsia="zh-CN"/>
        </w:rPr>
      </w:pPr>
      <w:r>
        <w:rPr>
          <w:color w:val="auto"/>
          <w:spacing w:val="20"/>
          <w:sz w:val="24"/>
        </w:rPr>
        <w:t>第三</w:t>
      </w:r>
      <w:r>
        <w:rPr>
          <w:color w:val="auto"/>
          <w:sz w:val="24"/>
        </w:rPr>
        <w:t>章</w:t>
      </w:r>
      <w:r>
        <w:rPr>
          <w:color w:val="auto"/>
          <w:sz w:val="24"/>
        </w:rPr>
        <w:tab/>
      </w:r>
      <w:r>
        <w:rPr>
          <w:color w:val="auto"/>
          <w:spacing w:val="20"/>
          <w:sz w:val="24"/>
        </w:rPr>
        <w:t>评标办法(</w:t>
      </w:r>
      <w:r>
        <w:rPr>
          <w:rFonts w:hint="eastAsia"/>
          <w:color w:val="auto"/>
          <w:spacing w:val="20"/>
          <w:sz w:val="24"/>
          <w:lang w:eastAsia="zh-CN"/>
        </w:rPr>
        <w:t>双信封的技术评分</w:t>
      </w:r>
      <w:r>
        <w:rPr>
          <w:rFonts w:hint="eastAsia"/>
          <w:color w:val="auto"/>
          <w:spacing w:val="20"/>
          <w:sz w:val="24"/>
          <w:lang w:val="en-US" w:eastAsia="zh-CN"/>
        </w:rPr>
        <w:t>综合评分</w:t>
      </w:r>
      <w:r>
        <w:rPr>
          <w:rFonts w:hint="eastAsia"/>
          <w:color w:val="auto"/>
          <w:spacing w:val="20"/>
          <w:sz w:val="24"/>
          <w:lang w:eastAsia="zh-CN"/>
        </w:rPr>
        <w:t>法)</w:t>
      </w:r>
    </w:p>
    <w:p>
      <w:pPr>
        <w:pStyle w:val="13"/>
        <w:rPr>
          <w:color w:val="auto"/>
          <w:sz w:val="29"/>
        </w:rPr>
      </w:pPr>
    </w:p>
    <w:p>
      <w:pPr>
        <w:tabs>
          <w:tab w:val="left" w:pos="2765"/>
        </w:tabs>
        <w:spacing w:before="2" w:line="530" w:lineRule="auto"/>
        <w:ind w:left="1440" w:right="-37"/>
        <w:rPr>
          <w:color w:val="auto"/>
          <w:spacing w:val="3"/>
          <w:sz w:val="24"/>
        </w:rPr>
      </w:pPr>
      <w:r>
        <w:rPr>
          <w:color w:val="auto"/>
          <w:spacing w:val="20"/>
          <w:sz w:val="24"/>
        </w:rPr>
        <w:t>第四</w:t>
      </w:r>
      <w:r>
        <w:rPr>
          <w:color w:val="auto"/>
          <w:sz w:val="24"/>
        </w:rPr>
        <w:t>章</w:t>
      </w:r>
      <w:r>
        <w:rPr>
          <w:color w:val="auto"/>
          <w:sz w:val="24"/>
        </w:rPr>
        <w:tab/>
      </w:r>
      <w:r>
        <w:rPr>
          <w:color w:val="auto"/>
          <w:spacing w:val="20"/>
          <w:sz w:val="24"/>
        </w:rPr>
        <w:t>合同条及格</w:t>
      </w:r>
      <w:r>
        <w:rPr>
          <w:color w:val="auto"/>
          <w:spacing w:val="3"/>
          <w:sz w:val="24"/>
        </w:rPr>
        <w:t>式</w:t>
      </w:r>
    </w:p>
    <w:p>
      <w:pPr>
        <w:tabs>
          <w:tab w:val="left" w:pos="2765"/>
        </w:tabs>
        <w:spacing w:before="2" w:line="530" w:lineRule="auto"/>
        <w:ind w:left="1440" w:right="-37"/>
        <w:rPr>
          <w:color w:val="auto"/>
          <w:sz w:val="24"/>
        </w:rPr>
      </w:pPr>
      <w:r>
        <w:rPr>
          <w:color w:val="auto"/>
          <w:spacing w:val="20"/>
          <w:sz w:val="24"/>
        </w:rPr>
        <w:t>第五</w:t>
      </w:r>
      <w:r>
        <w:rPr>
          <w:color w:val="auto"/>
          <w:sz w:val="24"/>
        </w:rPr>
        <w:t>章</w:t>
      </w:r>
      <w:r>
        <w:rPr>
          <w:color w:val="auto"/>
          <w:sz w:val="24"/>
        </w:rPr>
        <w:tab/>
      </w:r>
      <w:r>
        <w:rPr>
          <w:color w:val="auto"/>
          <w:spacing w:val="20"/>
          <w:sz w:val="24"/>
        </w:rPr>
        <w:t>工程量清单</w:t>
      </w:r>
    </w:p>
    <w:p>
      <w:pPr>
        <w:ind w:left="2053" w:right="2546"/>
        <w:jc w:val="center"/>
        <w:rPr>
          <w:color w:val="auto"/>
          <w:sz w:val="24"/>
        </w:rPr>
      </w:pPr>
      <w:r>
        <w:rPr>
          <w:color w:val="auto"/>
          <w:sz w:val="24"/>
        </w:rPr>
        <w:t>第二卷</w:t>
      </w:r>
    </w:p>
    <w:p>
      <w:pPr>
        <w:pStyle w:val="13"/>
        <w:spacing w:before="2"/>
        <w:rPr>
          <w:color w:val="auto"/>
          <w:sz w:val="29"/>
        </w:rPr>
      </w:pPr>
    </w:p>
    <w:p>
      <w:pPr>
        <w:tabs>
          <w:tab w:val="left" w:pos="2765"/>
        </w:tabs>
        <w:ind w:left="1440"/>
        <w:rPr>
          <w:color w:val="auto"/>
          <w:sz w:val="24"/>
        </w:rPr>
      </w:pPr>
      <w:r>
        <w:rPr>
          <w:color w:val="auto"/>
          <w:spacing w:val="20"/>
          <w:sz w:val="24"/>
        </w:rPr>
        <w:t>第六</w:t>
      </w:r>
      <w:r>
        <w:rPr>
          <w:color w:val="auto"/>
          <w:sz w:val="24"/>
        </w:rPr>
        <w:t>章</w:t>
      </w:r>
      <w:r>
        <w:rPr>
          <w:color w:val="auto"/>
          <w:sz w:val="24"/>
        </w:rPr>
        <w:tab/>
      </w:r>
      <w:r>
        <w:rPr>
          <w:color w:val="auto"/>
          <w:spacing w:val="20"/>
          <w:sz w:val="24"/>
        </w:rPr>
        <w:t>图纸（另册）</w:t>
      </w:r>
    </w:p>
    <w:p>
      <w:pPr>
        <w:pStyle w:val="13"/>
        <w:rPr>
          <w:color w:val="auto"/>
          <w:sz w:val="29"/>
        </w:rPr>
      </w:pPr>
    </w:p>
    <w:p>
      <w:pPr>
        <w:tabs>
          <w:tab w:val="left" w:pos="2765"/>
        </w:tabs>
        <w:spacing w:line="530" w:lineRule="auto"/>
        <w:ind w:left="1440" w:right="183" w:firstLine="2740"/>
        <w:rPr>
          <w:color w:val="auto"/>
          <w:sz w:val="24"/>
        </w:rPr>
      </w:pPr>
      <w:r>
        <w:rPr>
          <w:color w:val="auto"/>
          <w:spacing w:val="20"/>
          <w:sz w:val="24"/>
        </w:rPr>
        <w:t>第三</w:t>
      </w:r>
      <w:r>
        <w:rPr>
          <w:color w:val="auto"/>
          <w:sz w:val="24"/>
        </w:rPr>
        <w:t>卷</w:t>
      </w:r>
    </w:p>
    <w:p>
      <w:pPr>
        <w:tabs>
          <w:tab w:val="left" w:pos="2765"/>
        </w:tabs>
        <w:spacing w:line="530" w:lineRule="auto"/>
        <w:ind w:right="183" w:firstLine="1400" w:firstLineChars="500"/>
        <w:rPr>
          <w:color w:val="auto"/>
          <w:sz w:val="24"/>
        </w:rPr>
      </w:pPr>
      <w:r>
        <w:rPr>
          <w:color w:val="auto"/>
          <w:spacing w:val="20"/>
          <w:sz w:val="24"/>
        </w:rPr>
        <w:t>第七</w:t>
      </w:r>
      <w:r>
        <w:rPr>
          <w:color w:val="auto"/>
          <w:sz w:val="24"/>
        </w:rPr>
        <w:t>章</w:t>
      </w:r>
      <w:r>
        <w:rPr>
          <w:color w:val="auto"/>
          <w:sz w:val="24"/>
        </w:rPr>
        <w:tab/>
      </w:r>
      <w:r>
        <w:rPr>
          <w:color w:val="auto"/>
          <w:spacing w:val="20"/>
          <w:sz w:val="24"/>
        </w:rPr>
        <w:t>技术规范（另册）</w:t>
      </w:r>
    </w:p>
    <w:p>
      <w:pPr>
        <w:tabs>
          <w:tab w:val="left" w:pos="2765"/>
        </w:tabs>
        <w:spacing w:before="2"/>
        <w:ind w:left="1470"/>
        <w:rPr>
          <w:color w:val="auto"/>
          <w:sz w:val="24"/>
        </w:rPr>
      </w:pPr>
      <w:r>
        <w:rPr>
          <w:color w:val="auto"/>
          <w:sz w:val="24"/>
        </w:rPr>
        <w:t>第八章</w:t>
      </w:r>
      <w:r>
        <w:rPr>
          <w:color w:val="auto"/>
          <w:sz w:val="24"/>
        </w:rPr>
        <w:tab/>
      </w:r>
      <w:r>
        <w:rPr>
          <w:color w:val="auto"/>
          <w:sz w:val="24"/>
        </w:rPr>
        <w:t>工程量清单计量规则（另册）</w:t>
      </w:r>
    </w:p>
    <w:p>
      <w:pPr>
        <w:pStyle w:val="13"/>
        <w:spacing w:before="12"/>
        <w:rPr>
          <w:color w:val="auto"/>
          <w:sz w:val="28"/>
        </w:rPr>
      </w:pPr>
    </w:p>
    <w:p>
      <w:pPr>
        <w:spacing w:before="1"/>
        <w:ind w:left="2053" w:right="2546"/>
        <w:jc w:val="center"/>
        <w:rPr>
          <w:color w:val="auto"/>
          <w:sz w:val="24"/>
        </w:rPr>
      </w:pPr>
      <w:r>
        <w:rPr>
          <w:color w:val="auto"/>
          <w:sz w:val="24"/>
        </w:rPr>
        <w:t>第四卷</w:t>
      </w:r>
    </w:p>
    <w:p>
      <w:pPr>
        <w:pStyle w:val="13"/>
        <w:spacing w:before="1"/>
        <w:rPr>
          <w:color w:val="auto"/>
          <w:sz w:val="29"/>
        </w:rPr>
      </w:pPr>
    </w:p>
    <w:p>
      <w:pPr>
        <w:tabs>
          <w:tab w:val="left" w:pos="2765"/>
        </w:tabs>
        <w:ind w:left="1440"/>
        <w:rPr>
          <w:color w:val="auto"/>
          <w:sz w:val="24"/>
        </w:rPr>
      </w:pPr>
      <w:r>
        <w:rPr>
          <w:color w:val="auto"/>
          <w:spacing w:val="20"/>
          <w:sz w:val="24"/>
        </w:rPr>
        <w:t>第九</w:t>
      </w:r>
      <w:r>
        <w:rPr>
          <w:color w:val="auto"/>
          <w:sz w:val="24"/>
        </w:rPr>
        <w:t>章</w:t>
      </w:r>
      <w:r>
        <w:rPr>
          <w:color w:val="auto"/>
          <w:sz w:val="24"/>
        </w:rPr>
        <w:tab/>
      </w:r>
      <w:r>
        <w:rPr>
          <w:color w:val="auto"/>
          <w:spacing w:val="20"/>
          <w:sz w:val="24"/>
        </w:rPr>
        <w:t>投</w:t>
      </w:r>
      <w:r>
        <w:rPr>
          <w:rFonts w:hint="eastAsia"/>
          <w:color w:val="auto"/>
          <w:spacing w:val="20"/>
          <w:sz w:val="24"/>
        </w:rPr>
        <w:t>标</w:t>
      </w:r>
      <w:r>
        <w:rPr>
          <w:color w:val="auto"/>
          <w:spacing w:val="20"/>
          <w:sz w:val="24"/>
        </w:rPr>
        <w:t>文件格式</w:t>
      </w:r>
    </w:p>
    <w:p>
      <w:pPr>
        <w:rPr>
          <w:color w:val="auto"/>
          <w:sz w:val="24"/>
        </w:rPr>
      </w:pPr>
    </w:p>
    <w:p>
      <w:pPr>
        <w:pStyle w:val="13"/>
        <w:jc w:val="center"/>
        <w:rPr>
          <w:rFonts w:hint="eastAsia" w:ascii="黑体" w:hAnsi="黑体" w:eastAsia="黑体" w:cs="黑体"/>
          <w:b/>
          <w:bCs/>
          <w:color w:val="auto"/>
          <w:sz w:val="72"/>
          <w:szCs w:val="96"/>
        </w:rPr>
        <w:sectPr>
          <w:headerReference r:id="rId5" w:type="default"/>
          <w:footerReference r:id="rId6" w:type="default"/>
          <w:pgSz w:w="11911" w:h="16838"/>
          <w:pgMar w:top="1247" w:right="1134" w:bottom="1247" w:left="1134" w:header="737" w:footer="850" w:gutter="0"/>
          <w:pgNumType w:fmt="numberInDash" w:start="1"/>
          <w:cols w:space="0" w:num="1"/>
          <w:rtlGutter w:val="0"/>
          <w:docGrid w:linePitch="0" w:charSpace="0"/>
        </w:sectPr>
      </w:pPr>
    </w:p>
    <w:p>
      <w:pPr>
        <w:rPr>
          <w:rFonts w:hint="eastAsia"/>
          <w:color w:val="auto"/>
        </w:rPr>
      </w:pPr>
    </w:p>
    <w:p>
      <w:pPr>
        <w:pStyle w:val="13"/>
        <w:jc w:val="center"/>
        <w:rPr>
          <w:rFonts w:hint="eastAsia" w:ascii="黑体" w:hAnsi="黑体" w:eastAsia="黑体" w:cs="黑体"/>
          <w:b/>
          <w:bCs/>
          <w:color w:val="auto"/>
          <w:sz w:val="72"/>
          <w:szCs w:val="96"/>
        </w:rPr>
      </w:pPr>
    </w:p>
    <w:p>
      <w:pPr>
        <w:pStyle w:val="13"/>
        <w:jc w:val="center"/>
        <w:rPr>
          <w:rFonts w:hint="eastAsia" w:ascii="黑体" w:hAnsi="黑体" w:eastAsia="黑体" w:cs="黑体"/>
          <w:b/>
          <w:bCs/>
          <w:color w:val="auto"/>
          <w:sz w:val="72"/>
          <w:szCs w:val="96"/>
        </w:rPr>
      </w:pPr>
    </w:p>
    <w:p>
      <w:pPr>
        <w:pStyle w:val="13"/>
        <w:jc w:val="center"/>
        <w:rPr>
          <w:rFonts w:hint="eastAsia" w:ascii="黑体" w:hAnsi="黑体" w:eastAsia="黑体" w:cs="黑体"/>
          <w:b/>
          <w:bCs/>
          <w:color w:val="auto"/>
          <w:sz w:val="72"/>
          <w:szCs w:val="96"/>
        </w:rPr>
      </w:pPr>
    </w:p>
    <w:p>
      <w:pPr>
        <w:pStyle w:val="13"/>
        <w:jc w:val="center"/>
        <w:rPr>
          <w:rFonts w:hint="eastAsia" w:ascii="黑体" w:hAnsi="黑体" w:eastAsia="黑体" w:cs="黑体"/>
          <w:b/>
          <w:bCs/>
          <w:color w:val="auto"/>
          <w:sz w:val="72"/>
          <w:szCs w:val="96"/>
        </w:rPr>
      </w:pPr>
    </w:p>
    <w:p>
      <w:pPr>
        <w:pStyle w:val="13"/>
        <w:jc w:val="center"/>
        <w:rPr>
          <w:rFonts w:hint="eastAsia" w:ascii="黑体" w:hAnsi="黑体" w:eastAsia="黑体" w:cs="黑体"/>
          <w:b/>
          <w:bCs/>
          <w:color w:val="auto"/>
          <w:sz w:val="72"/>
          <w:szCs w:val="96"/>
        </w:rPr>
      </w:pPr>
    </w:p>
    <w:p>
      <w:pPr>
        <w:pStyle w:val="13"/>
        <w:jc w:val="center"/>
        <w:rPr>
          <w:rFonts w:ascii="黑体" w:hAnsi="黑体" w:eastAsia="黑体" w:cs="黑体"/>
          <w:b/>
          <w:bCs/>
          <w:color w:val="auto"/>
          <w:sz w:val="56"/>
          <w:szCs w:val="72"/>
        </w:rPr>
      </w:pPr>
      <w:r>
        <w:rPr>
          <w:rFonts w:hint="eastAsia" w:ascii="黑体" w:hAnsi="黑体" w:eastAsia="黑体" w:cs="黑体"/>
          <w:b/>
          <w:bCs/>
          <w:color w:val="auto"/>
          <w:sz w:val="72"/>
          <w:szCs w:val="96"/>
        </w:rPr>
        <w:t>第一卷</w:t>
      </w:r>
    </w:p>
    <w:p>
      <w:pPr>
        <w:pStyle w:val="13"/>
        <w:rPr>
          <w:rFonts w:ascii="Times New Roman"/>
          <w:color w:val="auto"/>
          <w:sz w:val="20"/>
        </w:rPr>
      </w:pPr>
    </w:p>
    <w:p>
      <w:pPr>
        <w:pStyle w:val="13"/>
        <w:rPr>
          <w:rFonts w:ascii="Times New Roman"/>
          <w:color w:val="auto"/>
          <w:sz w:val="20"/>
          <w:lang w:val="en-US"/>
        </w:rPr>
      </w:pPr>
    </w:p>
    <w:p>
      <w:pPr>
        <w:pStyle w:val="13"/>
        <w:spacing w:before="10"/>
        <w:rPr>
          <w:rFonts w:ascii="Times New Roman"/>
          <w:color w:val="auto"/>
          <w:sz w:val="24"/>
        </w:rPr>
      </w:pPr>
    </w:p>
    <w:p>
      <w:pPr>
        <w:pStyle w:val="13"/>
        <w:ind w:left="2982"/>
        <w:rPr>
          <w:rFonts w:ascii="Times New Roman"/>
          <w:color w:val="auto"/>
          <w:sz w:val="20"/>
        </w:rPr>
      </w:pPr>
    </w:p>
    <w:p>
      <w:pPr>
        <w:rPr>
          <w:rFonts w:ascii="Times New Roman"/>
          <w:color w:val="auto"/>
          <w:sz w:val="20"/>
        </w:rPr>
        <w:sectPr>
          <w:footerReference r:id="rId7" w:type="default"/>
          <w:pgSz w:w="11911" w:h="16838"/>
          <w:pgMar w:top="1247" w:right="1134" w:bottom="1247" w:left="1134" w:header="737" w:footer="850" w:gutter="0"/>
          <w:pgNumType w:fmt="numberInDash"/>
          <w:cols w:space="0" w:num="1"/>
          <w:rtlGutter w:val="0"/>
          <w:docGrid w:linePitch="0" w:charSpace="0"/>
        </w:sect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18"/>
        </w:rPr>
      </w:pPr>
    </w:p>
    <w:p>
      <w:pPr>
        <w:spacing w:before="22"/>
        <w:jc w:val="center"/>
        <w:rPr>
          <w:b/>
          <w:bCs/>
          <w:color w:val="auto"/>
          <w:sz w:val="44"/>
          <w:szCs w:val="44"/>
        </w:rPr>
        <w:sectPr>
          <w:footerReference r:id="rId8" w:type="default"/>
          <w:pgSz w:w="11911" w:h="16838"/>
          <w:pgMar w:top="1247" w:right="1134" w:bottom="1247" w:left="1134" w:header="737" w:footer="850" w:gutter="0"/>
          <w:pgNumType w:fmt="numberInDash"/>
          <w:cols w:space="0" w:num="1"/>
          <w:rtlGutter w:val="0"/>
          <w:docGrid w:linePitch="0" w:charSpace="0"/>
        </w:sectPr>
      </w:pPr>
      <w:r>
        <w:rPr>
          <w:b/>
          <w:bCs/>
          <w:color w:val="auto"/>
          <w:sz w:val="44"/>
          <w:szCs w:val="44"/>
        </w:rPr>
        <w:t>第一章招标公告</w:t>
      </w:r>
    </w:p>
    <w:p>
      <w:pPr>
        <w:spacing w:before="22"/>
        <w:jc w:val="center"/>
        <w:rPr>
          <w:rFonts w:ascii="宋体" w:hAnsi="宋体" w:eastAsia="宋体" w:cs="宋体"/>
          <w:spacing w:val="-1"/>
          <w:sz w:val="36"/>
          <w:szCs w:val="36"/>
          <w14:textOutline w14:w="7620" w14:cap="flat" w14:cmpd="sng">
            <w14:solidFill>
              <w14:srgbClr w14:val="000000"/>
            </w14:solidFill>
            <w14:prstDash w14:val="solid"/>
            <w14:miter w14:val="0"/>
          </w14:textOutline>
        </w:rPr>
      </w:pPr>
      <w:r>
        <w:rPr>
          <w:rFonts w:hint="eastAsia" w:ascii="宋体" w:hAnsi="宋体" w:eastAsia="宋体" w:cs="宋体"/>
          <w:spacing w:val="-1"/>
          <w:sz w:val="36"/>
          <w:szCs w:val="36"/>
          <w:lang w:val="en-US" w:eastAsia="zh-CN"/>
          <w14:textOutline w14:w="7620" w14:cap="flat" w14:cmpd="sng">
            <w14:solidFill>
              <w14:srgbClr w14:val="000000"/>
            </w14:solidFill>
            <w14:prstDash w14:val="solid"/>
            <w14:miter w14:val="0"/>
          </w14:textOutline>
        </w:rPr>
        <w:t>陆丰市金厢镇洲渚村环村东路道路工程</w:t>
      </w:r>
      <w:r>
        <w:rPr>
          <w:rFonts w:ascii="宋体" w:hAnsi="宋体" w:eastAsia="宋体" w:cs="宋体"/>
          <w:spacing w:val="-1"/>
          <w:sz w:val="36"/>
          <w:szCs w:val="36"/>
          <w14:textOutline w14:w="7620" w14:cap="flat" w14:cmpd="sng">
            <w14:solidFill>
              <w14:srgbClr w14:val="000000"/>
            </w14:solidFill>
            <w14:prstDash w14:val="solid"/>
            <w14:miter w14:val="0"/>
          </w14:textOutline>
        </w:rPr>
        <w:t>招标公告</w:t>
      </w:r>
    </w:p>
    <w:tbl>
      <w:tblPr>
        <w:tblStyle w:val="35"/>
        <w:tblW w:w="9899" w:type="dxa"/>
        <w:tblInd w:w="-11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058"/>
        <w:gridCol w:w="2693"/>
        <w:gridCol w:w="1768"/>
        <w:gridCol w:w="274"/>
        <w:gridCol w:w="712"/>
        <w:gridCol w:w="23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2"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投资项目代码</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rPr>
            </w:pPr>
            <w:r>
              <w:rPr>
                <w:rFonts w:hint="eastAsia" w:cs="宋体"/>
                <w:b/>
                <w:bCs/>
                <w:color w:val="auto"/>
                <w:sz w:val="21"/>
                <w:szCs w:val="21"/>
                <w:lang w:val="en-US" w:eastAsia="zh-CN"/>
              </w:rPr>
              <w:t>2112-441581-04-01-377114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4"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投资项目名称</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cs="宋体"/>
                <w:b/>
                <w:bCs/>
                <w:color w:val="auto"/>
                <w:sz w:val="21"/>
                <w:szCs w:val="21"/>
                <w:lang w:val="en-US" w:eastAsia="zh-CN"/>
              </w:rPr>
              <w:t>陆丰市金厢镇洲渚村环村东路道路工程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84"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ascii="宋体" w:hAnsi="宋体" w:eastAsia="宋体" w:cs="宋体"/>
                <w:b/>
                <w:bCs/>
                <w:color w:val="000000" w:themeColor="text1"/>
                <w:sz w:val="21"/>
                <w:szCs w:val="21"/>
                <w:lang w:val="en-US" w:eastAsia="zh-CN"/>
                <w14:textFill>
                  <w14:solidFill>
                    <w14:schemeClr w14:val="tx1"/>
                  </w14:solidFill>
                </w14:textFill>
              </w:rPr>
              <w:t>招标项目名称</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000000" w:themeColor="text1"/>
                <w:sz w:val="21"/>
                <w:szCs w:val="21"/>
                <w:lang w:val="en-US" w:eastAsia="zh-CN"/>
                <w14:textFill>
                  <w14:solidFill>
                    <w14:schemeClr w14:val="tx1"/>
                  </w14:solidFill>
                </w14:textFill>
              </w:rPr>
            </w:pPr>
            <w:r>
              <w:rPr>
                <w:rFonts w:hint="eastAsia" w:cs="宋体"/>
                <w:b/>
                <w:bCs/>
                <w:color w:val="000000" w:themeColor="text1"/>
                <w:sz w:val="21"/>
                <w:szCs w:val="21"/>
                <w:lang w:val="en-US" w:eastAsia="zh-CN"/>
                <w14:textFill>
                  <w14:solidFill>
                    <w14:schemeClr w14:val="tx1"/>
                  </w14:solidFill>
                </w14:textFill>
              </w:rPr>
              <w:t>陆丰市金厢镇洲渚村环村东路道路工程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02"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标段（包）名称</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cs="宋体"/>
                <w:b/>
                <w:bCs/>
                <w:color w:val="auto"/>
                <w:sz w:val="21"/>
                <w:szCs w:val="21"/>
                <w:lang w:val="en-US" w:eastAsia="zh-CN"/>
              </w:rPr>
              <w:t>陆丰市金厢镇洲渚村环村东路道路工程</w:t>
            </w:r>
          </w:p>
        </w:tc>
        <w:tc>
          <w:tcPr>
            <w:tcW w:w="176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公告性质</w:t>
            </w:r>
          </w:p>
        </w:tc>
        <w:tc>
          <w:tcPr>
            <w:tcW w:w="3380" w:type="dxa"/>
            <w:gridSpan w:val="3"/>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资格审查方式</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资格后审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0"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招标项目实施</w:t>
            </w: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（交货）地点</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rPr>
            </w:pPr>
            <w:r>
              <w:rPr>
                <w:rFonts w:hint="eastAsia" w:cs="宋体"/>
                <w:b/>
                <w:bCs/>
                <w:color w:val="auto"/>
                <w:sz w:val="21"/>
                <w:szCs w:val="21"/>
                <w:lang w:val="en-US" w:eastAsia="zh-CN"/>
              </w:rPr>
              <w:t>汕尾市陆丰市金厢镇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73"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资金来源</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rPr>
            </w:pPr>
            <w:r>
              <w:rPr>
                <w:rFonts w:hint="eastAsia" w:cs="宋体"/>
                <w:b/>
                <w:bCs/>
                <w:color w:val="auto"/>
                <w:sz w:val="21"/>
                <w:szCs w:val="21"/>
                <w:lang w:val="en-US" w:eastAsia="zh-CN"/>
              </w:rPr>
              <w:t>2022年度广东省十大乡村振兴示范带奖励资金</w:t>
            </w:r>
          </w:p>
        </w:tc>
        <w:tc>
          <w:tcPr>
            <w:tcW w:w="176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资金来源构成</w:t>
            </w:r>
          </w:p>
        </w:tc>
        <w:tc>
          <w:tcPr>
            <w:tcW w:w="3380" w:type="dxa"/>
            <w:gridSpan w:val="3"/>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cs="宋体"/>
                <w:b/>
                <w:bCs/>
                <w:color w:val="auto"/>
                <w:sz w:val="21"/>
                <w:szCs w:val="21"/>
                <w:lang w:val="en-US" w:eastAsia="zh-CN"/>
              </w:rPr>
              <w:t>2022年度广东省十大乡村振兴示范带奖励资金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1"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招标范围及规模</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bidi="ar-SA"/>
              </w:rPr>
              <w:t>该项目位于金厢镇洲渚村，沿洲渚东侧布线，至现状海堤后折向西，沿现状海堤布线，终于周恩来渡海纪念碑。道路1KM，路面8M，路基宽10M,双向两车道，设计时速20km/h。主要建设内容为新建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招标内容</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cs="宋体"/>
                <w:b/>
                <w:bCs/>
                <w:color w:val="auto"/>
                <w:sz w:val="21"/>
                <w:szCs w:val="21"/>
                <w:lang w:val="en-US" w:eastAsia="zh-CN"/>
              </w:rPr>
              <w:t>陆丰市金厢镇洲渚村环村东路道路工程</w:t>
            </w:r>
            <w:r>
              <w:rPr>
                <w:rFonts w:hint="eastAsia" w:ascii="宋体" w:hAnsi="宋体" w:eastAsia="宋体" w:cs="宋体"/>
                <w:b/>
                <w:bCs/>
                <w:color w:val="auto"/>
                <w:sz w:val="21"/>
                <w:szCs w:val="21"/>
                <w:lang w:val="en-US" w:eastAsia="zh-CN"/>
              </w:rPr>
              <w:t>，按批复的施工图设计的全部内容，完工验收以及缺陷责任期保修工作等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7"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工期（交货期）</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rPr>
            </w:pPr>
            <w:r>
              <w:rPr>
                <w:rFonts w:hint="eastAsia" w:cs="宋体"/>
                <w:b/>
                <w:bCs/>
                <w:color w:val="auto"/>
                <w:sz w:val="21"/>
                <w:szCs w:val="21"/>
                <w:lang w:val="en-US" w:eastAsia="zh-CN"/>
              </w:rPr>
              <w:t>180日历天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最高投标限价</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cs="宋体"/>
                <w:b/>
                <w:bCs/>
                <w:color w:val="auto"/>
                <w:sz w:val="21"/>
                <w:szCs w:val="21"/>
                <w:lang w:val="en-US" w:eastAsia="zh-CN"/>
              </w:rPr>
              <w:t>4008986.00元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是否接受联合体投标</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rPr>
            </w:pPr>
            <w:r>
              <w:rPr>
                <w:rFonts w:hint="eastAsia" w:ascii="宋体" w:hAnsi="宋体" w:eastAsia="宋体" w:cs="宋体"/>
                <w:b/>
                <w:bCs/>
                <w:color w:val="auto"/>
                <w:sz w:val="21"/>
                <w:szCs w:val="21"/>
                <w:lang w:val="en-US" w:eastAsia="zh-CN"/>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97" w:hRule="atLeast"/>
        </w:trPr>
        <w:tc>
          <w:tcPr>
            <w:tcW w:w="2058"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06"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投标资格能力要求</w:t>
            </w:r>
          </w:p>
        </w:tc>
        <w:tc>
          <w:tcPr>
            <w:tcW w:w="2693" w:type="dxa"/>
            <w:tcBorders>
              <w:top w:val="single" w:color="auto" w:sz="4" w:space="0"/>
              <w:left w:val="single" w:color="auto" w:sz="4" w:space="0"/>
              <w:bottom w:val="single" w:color="auto" w:sz="4" w:space="0"/>
              <w:right w:val="single" w:color="auto" w:sz="4" w:space="0"/>
            </w:tcBorders>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投标人资格要求</w:t>
            </w:r>
          </w:p>
        </w:tc>
        <w:tc>
          <w:tcPr>
            <w:tcW w:w="5148" w:type="dxa"/>
            <w:gridSpan w:val="4"/>
            <w:tcBorders>
              <w:left w:val="single" w:color="auto" w:sz="4" w:space="0"/>
            </w:tcBorders>
            <w:vAlign w:val="center"/>
          </w:tcPr>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1.</w:t>
            </w:r>
            <w:r>
              <w:rPr>
                <w:rFonts w:hint="eastAsia" w:ascii="宋体" w:hAnsi="宋体" w:eastAsia="宋体" w:cs="宋体"/>
                <w:b/>
                <w:bCs/>
                <w:color w:val="auto"/>
                <w:sz w:val="21"/>
                <w:szCs w:val="21"/>
                <w:lang w:val="en-US" w:eastAsia="en-US" w:bidi="ar-SA"/>
              </w:rPr>
              <w:t>本次招标要求投标人须具备建设行政主管部门核发的公路工程施工总承包三级以上（含三级）的资质。投标人应进入交通运输部“全国公路建设市场信用信息管理系统（http：glxy.mot.gov.cn）”中的公路工程施工资质企业名录，且投标人名称和资质与该名录中的相应企业名称和资质完全一致。</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2</w:t>
            </w:r>
            <w:r>
              <w:rPr>
                <w:rFonts w:hint="eastAsia" w:cs="宋体"/>
                <w:b/>
                <w:bCs/>
                <w:color w:val="auto"/>
                <w:sz w:val="21"/>
                <w:szCs w:val="21"/>
                <w:lang w:val="en-US" w:eastAsia="zh-CN" w:bidi="ar-SA"/>
              </w:rPr>
              <w:t>.</w:t>
            </w:r>
            <w:r>
              <w:rPr>
                <w:rFonts w:hint="eastAsia" w:ascii="宋体" w:hAnsi="宋体" w:eastAsia="宋体" w:cs="宋体"/>
                <w:b/>
                <w:bCs/>
                <w:color w:val="auto"/>
                <w:sz w:val="21"/>
                <w:szCs w:val="21"/>
                <w:lang w:val="en-US" w:eastAsia="en-US" w:bidi="ar-SA"/>
              </w:rPr>
              <w:t>投标人具备合法有效的营业执照及安全生产许可证；</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3.项目负责人资质类别和等级：具有公路工程专业二级或以上注册建造师、安全生产考核合格证书（交安B证）；</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4</w:t>
            </w:r>
            <w:r>
              <w:rPr>
                <w:rFonts w:hint="eastAsia" w:cs="宋体"/>
                <w:b/>
                <w:bCs/>
                <w:color w:val="auto"/>
                <w:sz w:val="21"/>
                <w:szCs w:val="21"/>
                <w:lang w:val="en-US" w:eastAsia="zh-CN" w:bidi="ar-SA"/>
              </w:rPr>
              <w:t>.</w:t>
            </w:r>
            <w:r>
              <w:rPr>
                <w:rFonts w:hint="eastAsia" w:ascii="宋体" w:hAnsi="宋体" w:eastAsia="宋体" w:cs="宋体"/>
                <w:b/>
                <w:bCs/>
                <w:color w:val="auto"/>
                <w:sz w:val="21"/>
                <w:szCs w:val="21"/>
                <w:lang w:val="en-US" w:eastAsia="en-US" w:bidi="ar-SA"/>
              </w:rPr>
              <w:t>投标人在财务、业绩、信誉、人员等方面具备相应的能力。具体资格审查条件见招标文件附录；</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5</w:t>
            </w:r>
            <w:r>
              <w:rPr>
                <w:rFonts w:hint="eastAsia" w:cs="宋体"/>
                <w:b/>
                <w:bCs/>
                <w:color w:val="auto"/>
                <w:sz w:val="21"/>
                <w:szCs w:val="21"/>
                <w:lang w:val="en-US" w:eastAsia="zh-CN" w:bidi="ar-SA"/>
              </w:rPr>
              <w:t>.</w:t>
            </w:r>
            <w:r>
              <w:rPr>
                <w:rFonts w:hint="eastAsia" w:ascii="宋体" w:hAnsi="宋体" w:eastAsia="宋体" w:cs="宋体"/>
                <w:b/>
                <w:bCs/>
                <w:color w:val="auto"/>
                <w:sz w:val="21"/>
                <w:szCs w:val="21"/>
                <w:lang w:val="en-US" w:eastAsia="en-US" w:bidi="ar-SA"/>
              </w:rPr>
              <w:t>本次招标不接受联合体投标。</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6</w:t>
            </w:r>
            <w:r>
              <w:rPr>
                <w:rFonts w:hint="eastAsia" w:cs="宋体"/>
                <w:b/>
                <w:bCs/>
                <w:color w:val="auto"/>
                <w:sz w:val="21"/>
                <w:szCs w:val="21"/>
                <w:lang w:val="en-US" w:eastAsia="zh-CN" w:bidi="ar-SA"/>
              </w:rPr>
              <w:t>.</w:t>
            </w:r>
            <w:r>
              <w:rPr>
                <w:rFonts w:hint="eastAsia" w:ascii="宋体" w:hAnsi="宋体" w:eastAsia="宋体" w:cs="宋体"/>
                <w:b/>
                <w:bCs/>
                <w:color w:val="auto"/>
                <w:sz w:val="21"/>
                <w:szCs w:val="21"/>
                <w:lang w:val="en-US" w:eastAsia="en-US" w:bidi="ar-SA"/>
              </w:rPr>
              <w:t>与招标人存在利害关系可能影响招标公正性的法人，不得参加投标；若单位负责人为同一人、或者存在控股、管理关系的不同单位，不得参加同一标段投标或者未划分标段的同一招标项目投标，否则按否决其投标处理。</w:t>
            </w:r>
          </w:p>
          <w:p>
            <w:pPr>
              <w:keepNext w:val="0"/>
              <w:keepLines w:val="0"/>
              <w:pageBreakBefore w:val="0"/>
              <w:widowControl w:val="0"/>
              <w:numPr>
                <w:ilvl w:val="0"/>
                <w:numId w:val="0"/>
              </w:numPr>
              <w:kinsoku/>
              <w:wordWrap/>
              <w:overflowPunct/>
              <w:topLinePunct w:val="0"/>
              <w:autoSpaceDE/>
              <w:autoSpaceDN/>
              <w:bidi w:val="0"/>
              <w:adjustRightInd/>
              <w:snapToGrid/>
              <w:ind w:left="0" w:right="0" w:rightChars="0"/>
              <w:jc w:val="both"/>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7.</w:t>
            </w:r>
            <w:r>
              <w:rPr>
                <w:rFonts w:hint="eastAsia" w:ascii="宋体" w:hAnsi="宋体" w:eastAsia="宋体" w:cs="宋体"/>
                <w:b/>
                <w:bCs/>
                <w:color w:val="auto"/>
                <w:sz w:val="21"/>
                <w:szCs w:val="21"/>
                <w:lang w:val="en-US" w:eastAsia="en-US" w:bidi="ar-SA"/>
              </w:rPr>
              <w:t>在“信用中国”网站（http://www.creditchina.gov.cn/)中被列入失信被执行人名单的投标人，在国家企业信用信息公示系统（www.gsxt.gov.cn）中被列入严重违法失信企业名单的投标人，均按否决投标处理。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97" w:hRule="atLeast"/>
        </w:trPr>
        <w:tc>
          <w:tcPr>
            <w:tcW w:w="2058"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p>
        </w:tc>
        <w:tc>
          <w:tcPr>
            <w:tcW w:w="2693" w:type="dxa"/>
            <w:tcBorders>
              <w:top w:val="single" w:color="auto" w:sz="4" w:space="0"/>
              <w:left w:val="single" w:color="auto" w:sz="4" w:space="0"/>
              <w:bottom w:val="single" w:color="auto" w:sz="4" w:space="0"/>
              <w:right w:val="single" w:color="auto" w:sz="4" w:space="0"/>
            </w:tcBorders>
            <w:vAlign w:val="center"/>
          </w:tcPr>
          <w:p>
            <w:pPr>
              <w:pStyle w:val="45"/>
              <w:keepNext w:val="0"/>
              <w:keepLines w:val="0"/>
              <w:pageBreakBefore w:val="0"/>
              <w:widowControl w:val="0"/>
              <w:kinsoku/>
              <w:wordWrap/>
              <w:overflowPunct/>
              <w:topLinePunct w:val="0"/>
              <w:autoSpaceDE/>
              <w:autoSpaceDN/>
              <w:bidi w:val="0"/>
              <w:adjustRightInd/>
              <w:snapToGrid/>
              <w:spacing w:line="224"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投标人业绩要求</w:t>
            </w:r>
          </w:p>
        </w:tc>
        <w:tc>
          <w:tcPr>
            <w:tcW w:w="5148" w:type="dxa"/>
            <w:gridSpan w:val="4"/>
            <w:tcBorders>
              <w:left w:val="single" w:color="auto" w:sz="4" w:space="0"/>
            </w:tcBorders>
            <w:vAlign w:val="center"/>
          </w:tcPr>
          <w:p>
            <w:pPr>
              <w:pStyle w:val="45"/>
              <w:keepNext w:val="0"/>
              <w:keepLines w:val="0"/>
              <w:pageBreakBefore w:val="0"/>
              <w:widowControl w:val="0"/>
              <w:kinsoku/>
              <w:wordWrap/>
              <w:overflowPunct/>
              <w:topLinePunct w:val="0"/>
              <w:autoSpaceDE/>
              <w:autoSpaceDN/>
              <w:bidi w:val="0"/>
              <w:adjustRightInd/>
              <w:snapToGrid/>
              <w:spacing w:line="228"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zh-CN" w:bidi="ar-SA"/>
              </w:rPr>
              <w:t>2019年1月1日至投标截止时间承担过一项建设规模不少于</w:t>
            </w:r>
            <w:bookmarkStart w:id="20" w:name="_GoBack"/>
            <w:bookmarkEnd w:id="20"/>
            <w:r>
              <w:rPr>
                <w:rFonts w:hint="eastAsia" w:cs="宋体"/>
                <w:b/>
                <w:bCs/>
                <w:color w:val="auto"/>
                <w:sz w:val="21"/>
                <w:szCs w:val="21"/>
                <w:lang w:val="en-US" w:eastAsia="zh-CN" w:bidi="ar-SA"/>
              </w:rPr>
              <w:t>2</w:t>
            </w:r>
            <w:r>
              <w:rPr>
                <w:rFonts w:hint="eastAsia" w:ascii="宋体" w:hAnsi="宋体" w:eastAsia="宋体" w:cs="宋体"/>
                <w:b/>
                <w:bCs/>
                <w:color w:val="auto"/>
                <w:sz w:val="21"/>
                <w:szCs w:val="21"/>
                <w:lang w:val="en-US" w:eastAsia="zh-CN" w:bidi="ar-SA"/>
              </w:rPr>
              <w:t>KM的公路工程类（新建、改建、扩建、路面改造、路面大修等以公路标准设计施工建设）项目业绩。</w:t>
            </w:r>
            <w:r>
              <w:rPr>
                <w:rFonts w:hint="eastAsia" w:ascii="宋体" w:hAnsi="宋体" w:eastAsia="宋体" w:cs="宋体"/>
                <w:b/>
                <w:bCs/>
                <w:color w:val="auto"/>
                <w:sz w:val="21"/>
                <w:szCs w:val="21"/>
                <w:lang w:val="en-US" w:eastAsia="en-US" w:bidi="ar-SA"/>
              </w:rPr>
              <w:t>（业绩须提交</w:t>
            </w:r>
            <w:r>
              <w:rPr>
                <w:rFonts w:hint="eastAsia" w:ascii="宋体" w:hAnsi="宋体" w:eastAsia="宋体" w:cs="宋体"/>
                <w:b/>
                <w:bCs/>
                <w:sz w:val="21"/>
                <w:szCs w:val="21"/>
                <w:highlight w:val="none"/>
                <w:lang w:eastAsia="zh-CN"/>
              </w:rPr>
              <w:t>“全国公路建设市场信用信息管理系统”</w:t>
            </w:r>
            <w:r>
              <w:rPr>
                <w:rFonts w:hint="eastAsia" w:ascii="宋体" w:hAnsi="宋体" w:eastAsia="宋体" w:cs="宋体"/>
                <w:b/>
                <w:bCs/>
                <w:sz w:val="21"/>
                <w:szCs w:val="21"/>
                <w:highlight w:val="none"/>
                <w:lang w:val="en-US" w:eastAsia="zh-CN"/>
              </w:rPr>
              <w:t>网页截图或</w:t>
            </w:r>
            <w:r>
              <w:rPr>
                <w:rFonts w:hint="eastAsia" w:cs="宋体"/>
                <w:b/>
                <w:bCs/>
                <w:sz w:val="21"/>
                <w:szCs w:val="21"/>
                <w:highlight w:val="none"/>
                <w:lang w:val="en-US" w:eastAsia="zh-CN"/>
              </w:rPr>
              <w:t>提供</w:t>
            </w:r>
            <w:r>
              <w:rPr>
                <w:rFonts w:hint="eastAsia" w:ascii="宋体" w:hAnsi="宋体" w:eastAsia="宋体" w:cs="宋体"/>
                <w:b/>
                <w:bCs/>
                <w:color w:val="auto"/>
                <w:sz w:val="21"/>
                <w:szCs w:val="21"/>
                <w:lang w:val="en-US" w:eastAsia="en-US" w:bidi="ar-SA"/>
              </w:rPr>
              <w:t>县级或县级以上公共资源交易中心盖章的中标通知书复印件、施工合同关键页证明复印件</w:t>
            </w:r>
            <w:r>
              <w:rPr>
                <w:rFonts w:hint="eastAsia" w:cs="宋体"/>
                <w:b/>
                <w:bCs/>
                <w:color w:val="auto"/>
                <w:sz w:val="21"/>
                <w:szCs w:val="21"/>
                <w:lang w:val="en-US" w:eastAsia="zh-CN" w:bidi="ar-SA"/>
              </w:rPr>
              <w:t>，</w:t>
            </w:r>
            <w:r>
              <w:rPr>
                <w:rFonts w:hint="eastAsia" w:ascii="宋体" w:hAnsi="宋体" w:eastAsia="宋体" w:cs="宋体"/>
                <w:b/>
                <w:bCs/>
                <w:color w:val="auto"/>
                <w:sz w:val="21"/>
                <w:szCs w:val="21"/>
                <w:lang w:val="en-US" w:eastAsia="zh-CN" w:bidi="ar-SA"/>
              </w:rPr>
              <w:t>时间和规模以“全国公路建设市场信用信息管理系统”上显示的开工日期或施工合同签订的时间及规模为准。</w:t>
            </w:r>
            <w:r>
              <w:rPr>
                <w:rFonts w:hint="eastAsia" w:ascii="宋体" w:hAnsi="宋体" w:eastAsia="宋体" w:cs="宋体"/>
                <w:b/>
                <w:bCs/>
                <w:color w:val="auto"/>
                <w:sz w:val="21"/>
                <w:szCs w:val="21"/>
                <w:lang w:val="en-US" w:eastAsia="en-US" w:bidi="ar-SA"/>
              </w:rPr>
              <w:t>本工程建设单位将核对业绩证明材料的真实性，如发现弄虚作假，将记入不良行为，在媒体上公告，已中标的取消中标资格）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71" w:hRule="atLeast"/>
        </w:trPr>
        <w:tc>
          <w:tcPr>
            <w:tcW w:w="2058"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95" w:lineRule="auto"/>
              <w:ind w:left="0" w:right="0" w:rightChars="0"/>
              <w:jc w:val="center"/>
              <w:textAlignment w:val="auto"/>
              <w:rPr>
                <w:rFonts w:hint="eastAsia" w:ascii="宋体" w:hAnsi="宋体" w:eastAsia="宋体" w:cs="宋体"/>
                <w:b/>
                <w:bCs/>
                <w:color w:val="auto"/>
                <w:sz w:val="21"/>
                <w:szCs w:val="21"/>
                <w:lang w:val="en-US" w:eastAsia="en-US" w:bidi="ar-SA"/>
              </w:rPr>
            </w:pPr>
          </w:p>
          <w:p>
            <w:pPr>
              <w:keepNext w:val="0"/>
              <w:keepLines w:val="0"/>
              <w:pageBreakBefore w:val="0"/>
              <w:widowControl w:val="0"/>
              <w:kinsoku/>
              <w:wordWrap/>
              <w:overflowPunct/>
              <w:topLinePunct w:val="0"/>
              <w:autoSpaceDE/>
              <w:autoSpaceDN/>
              <w:bidi w:val="0"/>
              <w:adjustRightInd/>
              <w:snapToGrid/>
              <w:spacing w:line="240"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是否采用电子招标投标方式</w:t>
            </w:r>
          </w:p>
          <w:p>
            <w:pPr>
              <w:keepNext w:val="0"/>
              <w:keepLines w:val="0"/>
              <w:pageBreakBefore w:val="0"/>
              <w:widowControl w:val="0"/>
              <w:kinsoku/>
              <w:wordWrap/>
              <w:overflowPunct/>
              <w:topLinePunct w:val="0"/>
              <w:autoSpaceDE/>
              <w:autoSpaceDN/>
              <w:bidi w:val="0"/>
              <w:adjustRightInd/>
              <w:snapToGrid/>
              <w:spacing w:line="296" w:lineRule="auto"/>
              <w:ind w:left="0" w:right="0" w:rightChars="0"/>
              <w:jc w:val="both"/>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6" w:lineRule="auto"/>
              <w:ind w:left="0" w:right="0" w:rightChars="0" w:hanging="776"/>
              <w:jc w:val="both"/>
              <w:textAlignment w:val="auto"/>
              <w:rPr>
                <w:rFonts w:hint="eastAsia" w:ascii="宋体" w:hAnsi="宋体" w:eastAsia="宋体" w:cs="宋体"/>
                <w:b/>
                <w:bCs/>
                <w:color w:val="auto"/>
                <w:sz w:val="21"/>
                <w:szCs w:val="21"/>
                <w:lang w:val="en-US" w:eastAsia="en-US" w:bidi="ar-SA"/>
              </w:rPr>
            </w:pPr>
          </w:p>
        </w:tc>
        <w:tc>
          <w:tcPr>
            <w:tcW w:w="2693" w:type="dxa"/>
            <w:vMerge w:val="restart"/>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50" w:lineRule="auto"/>
              <w:ind w:left="0" w:right="0" w:rightChars="0"/>
              <w:jc w:val="center"/>
              <w:textAlignment w:val="auto"/>
              <w:rPr>
                <w:rFonts w:hint="eastAsia" w:ascii="宋体" w:hAnsi="宋体" w:eastAsia="宋体" w:cs="宋体"/>
                <w:b/>
                <w:bCs/>
                <w:color w:val="auto"/>
                <w:sz w:val="21"/>
                <w:szCs w:val="21"/>
                <w:lang w:val="en-US" w:eastAsia="en-US" w:bidi="ar-SA"/>
              </w:rPr>
            </w:pPr>
          </w:p>
          <w:p>
            <w:pPr>
              <w:keepNext w:val="0"/>
              <w:keepLines w:val="0"/>
              <w:pageBreakBefore w:val="0"/>
              <w:widowControl w:val="0"/>
              <w:kinsoku/>
              <w:wordWrap/>
              <w:overflowPunct/>
              <w:topLinePunct w:val="0"/>
              <w:autoSpaceDE/>
              <w:autoSpaceDN/>
              <w:bidi w:val="0"/>
              <w:adjustRightInd/>
              <w:snapToGrid/>
              <w:spacing w:line="250" w:lineRule="auto"/>
              <w:ind w:left="0" w:right="0" w:rightChars="0"/>
              <w:jc w:val="center"/>
              <w:textAlignment w:val="auto"/>
              <w:rPr>
                <w:rFonts w:hint="eastAsia" w:ascii="宋体" w:hAnsi="宋体" w:eastAsia="宋体" w:cs="宋体"/>
                <w:b/>
                <w:bCs/>
                <w:color w:val="auto"/>
                <w:sz w:val="21"/>
                <w:szCs w:val="21"/>
                <w:lang w:val="en-US" w:eastAsia="en-US" w:bidi="ar-SA"/>
              </w:rPr>
            </w:pPr>
          </w:p>
          <w:p>
            <w:pPr>
              <w:keepNext w:val="0"/>
              <w:keepLines w:val="0"/>
              <w:pageBreakBefore w:val="0"/>
              <w:widowControl w:val="0"/>
              <w:kinsoku/>
              <w:wordWrap/>
              <w:overflowPunct/>
              <w:topLinePunct w:val="0"/>
              <w:autoSpaceDE/>
              <w:autoSpaceDN/>
              <w:bidi w:val="0"/>
              <w:adjustRightInd/>
              <w:snapToGrid/>
              <w:spacing w:line="251"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是</w:t>
            </w:r>
          </w:p>
          <w:p>
            <w:pPr>
              <w:keepNext w:val="0"/>
              <w:keepLines w:val="0"/>
              <w:pageBreakBefore w:val="0"/>
              <w:widowControl w:val="0"/>
              <w:kinsoku/>
              <w:wordWrap/>
              <w:overflowPunct/>
              <w:topLinePunct w:val="0"/>
              <w:autoSpaceDE/>
              <w:autoSpaceDN/>
              <w:bidi w:val="0"/>
              <w:adjustRightInd/>
              <w:snapToGrid/>
              <w:spacing w:line="251"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7" w:lineRule="auto"/>
              <w:ind w:left="0" w:right="0" w:rightChars="0"/>
              <w:jc w:val="center"/>
              <w:textAlignment w:val="auto"/>
              <w:rPr>
                <w:rFonts w:hint="eastAsia" w:ascii="宋体" w:hAnsi="宋体" w:eastAsia="宋体" w:cs="宋体"/>
                <w:b/>
                <w:bCs/>
                <w:color w:val="auto"/>
                <w:sz w:val="21"/>
                <w:szCs w:val="21"/>
                <w:lang w:val="en-US" w:eastAsia="en-US" w:bidi="ar-SA"/>
              </w:rPr>
            </w:pPr>
          </w:p>
        </w:tc>
        <w:tc>
          <w:tcPr>
            <w:tcW w:w="1768" w:type="dxa"/>
            <w:vMerge w:val="restart"/>
            <w:tcBorders>
              <w:bottom w:val="nil"/>
            </w:tcBorders>
            <w:vAlign w:val="center"/>
          </w:tcPr>
          <w:p>
            <w:pPr>
              <w:pStyle w:val="45"/>
              <w:keepNext w:val="0"/>
              <w:keepLines w:val="0"/>
              <w:pageBreakBefore w:val="0"/>
              <w:widowControl w:val="0"/>
              <w:kinsoku/>
              <w:wordWrap/>
              <w:overflowPunct/>
              <w:topLinePunct w:val="0"/>
              <w:autoSpaceDE/>
              <w:autoSpaceDN/>
              <w:bidi w:val="0"/>
              <w:adjustRightInd/>
              <w:snapToGrid/>
              <w:spacing w:line="225" w:lineRule="auto"/>
              <w:ind w:right="0" w:rightChars="0"/>
              <w:jc w:val="both"/>
              <w:textAlignment w:val="auto"/>
              <w:rPr>
                <w:rFonts w:hint="eastAsia"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获取资格预审/招标文件的方式</w:t>
            </w:r>
          </w:p>
        </w:tc>
        <w:tc>
          <w:tcPr>
            <w:tcW w:w="986" w:type="dxa"/>
            <w:gridSpan w:val="2"/>
            <w:vAlign w:val="center"/>
          </w:tcPr>
          <w:p>
            <w:pPr>
              <w:keepNext w:val="0"/>
              <w:keepLines w:val="0"/>
              <w:pageBreakBefore w:val="0"/>
              <w:widowControl w:val="0"/>
              <w:kinsoku/>
              <w:wordWrap/>
              <w:overflowPunct/>
              <w:topLinePunct w:val="0"/>
              <w:autoSpaceDE/>
              <w:autoSpaceDN/>
              <w:bidi w:val="0"/>
              <w:adjustRightInd/>
              <w:snapToGrid/>
              <w:spacing w:line="258"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下载资格预审/招标文件的网络地址</w:t>
            </w:r>
          </w:p>
        </w:tc>
        <w:tc>
          <w:tcPr>
            <w:tcW w:w="2394" w:type="dxa"/>
            <w:vAlign w:val="center"/>
          </w:tcPr>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广东省公共资源交易平台</w:t>
            </w:r>
          </w:p>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https://ygp.gdzwfw.gov.cn/#/441500/j</w:t>
            </w:r>
          </w:p>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Ygg</w:t>
            </w:r>
          </w:p>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jc w:val="center"/>
              <w:textAlignment w:val="auto"/>
              <w:rPr>
                <w:rFonts w:hint="default"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汕尾市公共资源交易中心网站https://ygp.gdzwfw.gov.cn/ggzy-portal/index.html#/441500/index</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69" w:hRule="atLeast"/>
        </w:trPr>
        <w:tc>
          <w:tcPr>
            <w:tcW w:w="2058"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p>
        </w:tc>
        <w:tc>
          <w:tcPr>
            <w:tcW w:w="2693" w:type="dxa"/>
            <w:vMerge w:val="continue"/>
            <w:tcBorders>
              <w:top w:val="single" w:color="auto" w:sz="4" w:space="0"/>
              <w:bottom w:val="single" w:color="auto" w:sz="4" w:space="0"/>
            </w:tcBorders>
            <w:vAlign w:val="center"/>
          </w:tcPr>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p>
        </w:tc>
        <w:tc>
          <w:tcPr>
            <w:tcW w:w="1768" w:type="dxa"/>
            <w:vMerge w:val="continue"/>
            <w:tcBorders>
              <w:top w:val="nil"/>
            </w:tcBorders>
            <w:vAlign w:val="center"/>
          </w:tcPr>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p>
        </w:tc>
        <w:tc>
          <w:tcPr>
            <w:tcW w:w="98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5" w:lineRule="auto"/>
              <w:ind w:left="0" w:right="0" w:rightChars="0" w:firstLine="3"/>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获取纸质资格预审/招标文件的方式</w:t>
            </w:r>
          </w:p>
        </w:tc>
        <w:tc>
          <w:tcPr>
            <w:tcW w:w="2394" w:type="dxa"/>
            <w:vAlign w:val="center"/>
          </w:tcPr>
          <w:p>
            <w:pPr>
              <w:pStyle w:val="45"/>
              <w:keepNext w:val="0"/>
              <w:keepLines w:val="0"/>
              <w:pageBreakBefore w:val="0"/>
              <w:widowControl w:val="0"/>
              <w:kinsoku/>
              <w:wordWrap/>
              <w:overflowPunct/>
              <w:topLinePunct w:val="0"/>
              <w:autoSpaceDE/>
              <w:autoSpaceDN/>
              <w:bidi w:val="0"/>
              <w:adjustRightInd/>
              <w:snapToGrid/>
              <w:spacing w:line="228"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33" w:hRule="atLeast"/>
        </w:trPr>
        <w:tc>
          <w:tcPr>
            <w:tcW w:w="2058" w:type="dxa"/>
            <w:tcBorders>
              <w:top w:val="single" w:color="auto" w:sz="4" w:space="0"/>
            </w:tcBorders>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获取资格预审/招标文件开始时间</w:t>
            </w:r>
          </w:p>
        </w:tc>
        <w:tc>
          <w:tcPr>
            <w:tcW w:w="2693" w:type="dxa"/>
            <w:tcBorders>
              <w:top w:val="single" w:color="auto" w:sz="4" w:space="0"/>
            </w:tcBorders>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202</w:t>
            </w:r>
            <w:r>
              <w:rPr>
                <w:rFonts w:hint="eastAsia" w:cs="宋体"/>
                <w:b/>
                <w:bCs/>
                <w:color w:val="auto"/>
                <w:sz w:val="21"/>
                <w:szCs w:val="21"/>
                <w:lang w:val="en-US" w:eastAsia="zh-CN" w:bidi="ar-SA"/>
              </w:rPr>
              <w:t>4</w:t>
            </w:r>
            <w:r>
              <w:rPr>
                <w:rFonts w:hint="eastAsia" w:ascii="宋体" w:hAnsi="宋体" w:eastAsia="宋体" w:cs="宋体"/>
                <w:b/>
                <w:bCs/>
                <w:color w:val="auto"/>
                <w:sz w:val="21"/>
                <w:szCs w:val="21"/>
                <w:lang w:val="en-US" w:eastAsia="en-US" w:bidi="ar-SA"/>
              </w:rPr>
              <w:t>年</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月</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日</w:t>
            </w: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18</w:t>
            </w:r>
            <w:r>
              <w:rPr>
                <w:rFonts w:hint="eastAsia" w:ascii="宋体" w:hAnsi="宋体" w:eastAsia="宋体" w:cs="宋体"/>
                <w:b/>
                <w:bCs/>
                <w:color w:val="auto"/>
                <w:sz w:val="21"/>
                <w:szCs w:val="21"/>
                <w:lang w:val="en-US" w:eastAsia="en-US" w:bidi="ar-SA"/>
              </w:rPr>
              <w:t>时</w:t>
            </w:r>
            <w:r>
              <w:rPr>
                <w:rFonts w:hint="eastAsia" w:cs="宋体"/>
                <w:b/>
                <w:bCs/>
                <w:color w:val="auto"/>
                <w:sz w:val="21"/>
                <w:szCs w:val="21"/>
                <w:lang w:val="en-US" w:eastAsia="zh-CN" w:bidi="ar-SA"/>
              </w:rPr>
              <w:t>00</w:t>
            </w:r>
            <w:r>
              <w:rPr>
                <w:rFonts w:hint="eastAsia" w:ascii="宋体" w:hAnsi="宋体" w:eastAsia="宋体" w:cs="宋体"/>
                <w:b/>
                <w:bCs/>
                <w:color w:val="auto"/>
                <w:sz w:val="21"/>
                <w:szCs w:val="21"/>
                <w:lang w:val="en-US" w:eastAsia="en-US" w:bidi="ar-SA"/>
              </w:rPr>
              <w:t>分</w:t>
            </w:r>
          </w:p>
        </w:tc>
        <w:tc>
          <w:tcPr>
            <w:tcW w:w="176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获取资格预审/招标文件截止时间</w:t>
            </w:r>
          </w:p>
        </w:tc>
        <w:tc>
          <w:tcPr>
            <w:tcW w:w="3380" w:type="dxa"/>
            <w:gridSpan w:val="3"/>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202</w:t>
            </w:r>
            <w:r>
              <w:rPr>
                <w:rFonts w:hint="eastAsia" w:cs="宋体"/>
                <w:b/>
                <w:bCs/>
                <w:color w:val="auto"/>
                <w:sz w:val="21"/>
                <w:szCs w:val="21"/>
                <w:lang w:val="en-US" w:eastAsia="zh-CN" w:bidi="ar-SA"/>
              </w:rPr>
              <w:t>4</w:t>
            </w:r>
            <w:r>
              <w:rPr>
                <w:rFonts w:hint="eastAsia" w:ascii="宋体" w:hAnsi="宋体" w:eastAsia="宋体" w:cs="宋体"/>
                <w:b/>
                <w:bCs/>
                <w:color w:val="auto"/>
                <w:sz w:val="21"/>
                <w:szCs w:val="21"/>
                <w:lang w:val="en-US" w:eastAsia="en-US" w:bidi="ar-SA"/>
              </w:rPr>
              <w:t>年</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月</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日</w:t>
            </w: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10</w:t>
            </w:r>
            <w:r>
              <w:rPr>
                <w:rFonts w:hint="eastAsia" w:ascii="宋体" w:hAnsi="宋体" w:eastAsia="宋体" w:cs="宋体"/>
                <w:b/>
                <w:bCs/>
                <w:color w:val="auto"/>
                <w:sz w:val="21"/>
                <w:szCs w:val="21"/>
                <w:lang w:val="en-US" w:eastAsia="en-US" w:bidi="ar-SA"/>
              </w:rPr>
              <w:t>时</w:t>
            </w:r>
            <w:r>
              <w:rPr>
                <w:rFonts w:hint="eastAsia" w:cs="宋体"/>
                <w:b/>
                <w:bCs/>
                <w:color w:val="auto"/>
                <w:sz w:val="21"/>
                <w:szCs w:val="21"/>
                <w:lang w:val="en-US" w:eastAsia="zh-CN" w:bidi="ar-SA"/>
              </w:rPr>
              <w:t>00</w:t>
            </w:r>
            <w:r>
              <w:rPr>
                <w:rFonts w:hint="eastAsia" w:ascii="宋体" w:hAnsi="宋体" w:eastAsia="宋体" w:cs="宋体"/>
                <w:b/>
                <w:bCs/>
                <w:color w:val="auto"/>
                <w:sz w:val="21"/>
                <w:szCs w:val="21"/>
                <w:lang w:val="en-US" w:eastAsia="en-US" w:bidi="ar-SA"/>
              </w:rPr>
              <w:t>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22" w:hRule="atLeast"/>
        </w:trPr>
        <w:tc>
          <w:tcPr>
            <w:tcW w:w="2058" w:type="dxa"/>
            <w:vAlign w:val="center"/>
          </w:tcPr>
          <w:p>
            <w:pPr>
              <w:keepNext w:val="0"/>
              <w:keepLines w:val="0"/>
              <w:pageBreakBefore w:val="0"/>
              <w:widowControl w:val="0"/>
              <w:kinsoku/>
              <w:wordWrap/>
              <w:overflowPunct/>
              <w:topLinePunct w:val="0"/>
              <w:autoSpaceDE/>
              <w:autoSpaceDN/>
              <w:bidi w:val="0"/>
              <w:adjustRightInd/>
              <w:snapToGrid/>
              <w:spacing w:line="358" w:lineRule="auto"/>
              <w:ind w:left="0" w:right="0" w:rightChars="0"/>
              <w:jc w:val="center"/>
              <w:textAlignment w:val="auto"/>
              <w:rPr>
                <w:rFonts w:hint="eastAsia" w:ascii="宋体" w:hAnsi="宋体" w:eastAsia="宋体" w:cs="宋体"/>
                <w:b/>
                <w:bCs/>
                <w:color w:val="auto"/>
                <w:sz w:val="21"/>
                <w:szCs w:val="21"/>
                <w:lang w:val="en-US" w:eastAsia="zh-CN" w:bidi="ar-SA"/>
              </w:rPr>
            </w:pPr>
          </w:p>
          <w:p>
            <w:pPr>
              <w:pStyle w:val="45"/>
              <w:keepNext w:val="0"/>
              <w:keepLines w:val="0"/>
              <w:pageBreakBefore w:val="0"/>
              <w:widowControl w:val="0"/>
              <w:kinsoku/>
              <w:wordWrap/>
              <w:overflowPunct/>
              <w:topLinePunct w:val="0"/>
              <w:autoSpaceDE/>
              <w:autoSpaceDN/>
              <w:bidi w:val="0"/>
              <w:adjustRightInd/>
              <w:snapToGrid/>
              <w:spacing w:line="240" w:lineRule="auto"/>
              <w:ind w:left="0" w:right="0" w:rightChars="0" w:firstLine="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递交资格预审/投标文件截止时间</w:t>
            </w:r>
          </w:p>
        </w:tc>
        <w:tc>
          <w:tcPr>
            <w:tcW w:w="2693" w:type="dxa"/>
            <w:vAlign w:val="center"/>
          </w:tcPr>
          <w:p>
            <w:pPr>
              <w:keepNext w:val="0"/>
              <w:keepLines w:val="0"/>
              <w:pageBreakBefore w:val="0"/>
              <w:widowControl w:val="0"/>
              <w:kinsoku/>
              <w:wordWrap/>
              <w:overflowPunct/>
              <w:topLinePunct w:val="0"/>
              <w:autoSpaceDE/>
              <w:autoSpaceDN/>
              <w:bidi w:val="0"/>
              <w:adjustRightInd/>
              <w:snapToGrid/>
              <w:spacing w:line="356" w:lineRule="auto"/>
              <w:ind w:left="0" w:right="0" w:rightChars="0"/>
              <w:jc w:val="center"/>
              <w:textAlignment w:val="auto"/>
              <w:rPr>
                <w:rFonts w:hint="eastAsia" w:ascii="宋体" w:hAnsi="宋体" w:eastAsia="宋体" w:cs="宋体"/>
                <w:b/>
                <w:bCs/>
                <w:color w:val="auto"/>
                <w:sz w:val="21"/>
                <w:szCs w:val="21"/>
                <w:lang w:val="en-US" w:eastAsia="en-US" w:bidi="ar-SA"/>
              </w:rPr>
            </w:pPr>
          </w:p>
          <w:p>
            <w:pPr>
              <w:pStyle w:val="45"/>
              <w:keepNext w:val="0"/>
              <w:keepLines w:val="0"/>
              <w:pageBreakBefore w:val="0"/>
              <w:widowControl w:val="0"/>
              <w:kinsoku/>
              <w:wordWrap/>
              <w:overflowPunct/>
              <w:topLinePunct w:val="0"/>
              <w:autoSpaceDE/>
              <w:autoSpaceDN/>
              <w:bidi w:val="0"/>
              <w:adjustRightInd/>
              <w:snapToGrid/>
              <w:spacing w:line="226" w:lineRule="auto"/>
              <w:ind w:left="0" w:right="0" w:rightChars="0" w:hanging="353"/>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202</w:t>
            </w:r>
            <w:r>
              <w:rPr>
                <w:rFonts w:hint="eastAsia" w:cs="宋体"/>
                <w:b/>
                <w:bCs/>
                <w:color w:val="auto"/>
                <w:sz w:val="21"/>
                <w:szCs w:val="21"/>
                <w:lang w:val="en-US" w:eastAsia="zh-CN" w:bidi="ar-SA"/>
              </w:rPr>
              <w:t>4</w:t>
            </w:r>
            <w:r>
              <w:rPr>
                <w:rFonts w:hint="eastAsia" w:ascii="宋体" w:hAnsi="宋体" w:eastAsia="宋体" w:cs="宋体"/>
                <w:b/>
                <w:bCs/>
                <w:color w:val="auto"/>
                <w:sz w:val="21"/>
                <w:szCs w:val="21"/>
                <w:lang w:val="en-US" w:eastAsia="en-US" w:bidi="ar-SA"/>
              </w:rPr>
              <w:t>年</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月</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日</w:t>
            </w:r>
          </w:p>
          <w:p>
            <w:pPr>
              <w:pStyle w:val="45"/>
              <w:keepNext w:val="0"/>
              <w:keepLines w:val="0"/>
              <w:pageBreakBefore w:val="0"/>
              <w:widowControl w:val="0"/>
              <w:kinsoku/>
              <w:wordWrap/>
              <w:overflowPunct/>
              <w:topLinePunct w:val="0"/>
              <w:autoSpaceDE/>
              <w:autoSpaceDN/>
              <w:bidi w:val="0"/>
              <w:adjustRightInd/>
              <w:snapToGrid/>
              <w:spacing w:line="226" w:lineRule="auto"/>
              <w:ind w:left="0" w:right="0" w:rightChars="0" w:hanging="353"/>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10</w:t>
            </w:r>
            <w:r>
              <w:rPr>
                <w:rFonts w:hint="eastAsia" w:ascii="宋体" w:hAnsi="宋体" w:eastAsia="宋体" w:cs="宋体"/>
                <w:b/>
                <w:bCs/>
                <w:color w:val="auto"/>
                <w:sz w:val="21"/>
                <w:szCs w:val="21"/>
                <w:lang w:val="en-US" w:eastAsia="en-US" w:bidi="ar-SA"/>
              </w:rPr>
              <w:t>时</w:t>
            </w:r>
            <w:r>
              <w:rPr>
                <w:rFonts w:hint="eastAsia" w:cs="宋体"/>
                <w:b/>
                <w:bCs/>
                <w:color w:val="auto"/>
                <w:sz w:val="21"/>
                <w:szCs w:val="21"/>
                <w:lang w:val="en-US" w:eastAsia="zh-CN" w:bidi="ar-SA"/>
              </w:rPr>
              <w:t>00</w:t>
            </w:r>
            <w:r>
              <w:rPr>
                <w:rFonts w:hint="eastAsia" w:ascii="宋体" w:hAnsi="宋体" w:eastAsia="宋体" w:cs="宋体"/>
                <w:b/>
                <w:bCs/>
                <w:color w:val="auto"/>
                <w:sz w:val="21"/>
                <w:szCs w:val="21"/>
                <w:lang w:val="en-US" w:eastAsia="en-US" w:bidi="ar-SA"/>
              </w:rPr>
              <w:t>分</w:t>
            </w:r>
          </w:p>
        </w:tc>
        <w:tc>
          <w:tcPr>
            <w:tcW w:w="1768" w:type="dxa"/>
            <w:vAlign w:val="center"/>
          </w:tcPr>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p>
          <w:p>
            <w:pPr>
              <w:keepNext w:val="0"/>
              <w:keepLines w:val="0"/>
              <w:pageBreakBefore w:val="0"/>
              <w:widowControl w:val="0"/>
              <w:kinsoku/>
              <w:wordWrap/>
              <w:overflowPunct/>
              <w:topLinePunct w:val="0"/>
              <w:autoSpaceDE/>
              <w:autoSpaceDN/>
              <w:bidi w:val="0"/>
              <w:adjustRightInd/>
              <w:snapToGrid/>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资格预审/投标文件递交方式</w:t>
            </w:r>
          </w:p>
        </w:tc>
        <w:tc>
          <w:tcPr>
            <w:tcW w:w="3380" w:type="dxa"/>
            <w:gridSpan w:val="3"/>
            <w:vAlign w:val="center"/>
          </w:tcPr>
          <w:p>
            <w:pPr>
              <w:pStyle w:val="45"/>
              <w:keepNext w:val="0"/>
              <w:keepLines w:val="0"/>
              <w:pageBreakBefore w:val="0"/>
              <w:widowControl w:val="0"/>
              <w:kinsoku/>
              <w:wordWrap/>
              <w:overflowPunct/>
              <w:topLinePunct w:val="0"/>
              <w:autoSpaceDE/>
              <w:autoSpaceDN/>
              <w:bidi w:val="0"/>
              <w:adjustRightInd/>
              <w:snapToGrid/>
              <w:spacing w:line="227"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投标人应在招标文件规定的时间前，登陆汕尾市公共资源交易平台办理网上投标登记手续，并在递交资格预审文件/投标文件截止时间前，通过汕尾市公共资源交易平台递交电子资格预审/投标文件,按照汕尾市公共资源交易平台关于全流程电子化项目的相关指南进行操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7"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开标时间</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202</w:t>
            </w:r>
            <w:r>
              <w:rPr>
                <w:rFonts w:hint="eastAsia" w:cs="宋体"/>
                <w:b/>
                <w:bCs/>
                <w:color w:val="auto"/>
                <w:sz w:val="21"/>
                <w:szCs w:val="21"/>
                <w:lang w:val="en-US" w:eastAsia="zh-CN" w:bidi="ar-SA"/>
              </w:rPr>
              <w:t>4</w:t>
            </w:r>
            <w:r>
              <w:rPr>
                <w:rFonts w:hint="eastAsia" w:ascii="宋体" w:hAnsi="宋体" w:eastAsia="宋体" w:cs="宋体"/>
                <w:b/>
                <w:bCs/>
                <w:color w:val="auto"/>
                <w:sz w:val="21"/>
                <w:szCs w:val="21"/>
                <w:lang w:val="en-US" w:eastAsia="en-US" w:bidi="ar-SA"/>
              </w:rPr>
              <w:t>年</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月</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en-US" w:bidi="ar-SA"/>
              </w:rPr>
              <w:t>日</w:t>
            </w: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 xml:space="preserve">10 </w:t>
            </w:r>
            <w:r>
              <w:rPr>
                <w:rFonts w:hint="eastAsia" w:ascii="宋体" w:hAnsi="宋体" w:eastAsia="宋体" w:cs="宋体"/>
                <w:b/>
                <w:bCs/>
                <w:color w:val="auto"/>
                <w:sz w:val="21"/>
                <w:szCs w:val="21"/>
                <w:lang w:val="en-US" w:eastAsia="en-US" w:bidi="ar-SA"/>
              </w:rPr>
              <w:t>时</w:t>
            </w:r>
            <w:r>
              <w:rPr>
                <w:rFonts w:hint="eastAsia" w:cs="宋体"/>
                <w:b/>
                <w:bCs/>
                <w:color w:val="auto"/>
                <w:sz w:val="21"/>
                <w:szCs w:val="21"/>
                <w:lang w:val="en-US" w:eastAsia="zh-CN" w:bidi="ar-SA"/>
              </w:rPr>
              <w:t>00</w:t>
            </w:r>
            <w:r>
              <w:rPr>
                <w:rFonts w:hint="eastAsia" w:ascii="宋体" w:hAnsi="宋体" w:eastAsia="宋体" w:cs="宋体"/>
                <w:b/>
                <w:bCs/>
                <w:color w:val="auto"/>
                <w:sz w:val="21"/>
                <w:szCs w:val="21"/>
                <w:lang w:val="en-US" w:eastAsia="en-US" w:bidi="ar-SA"/>
              </w:rPr>
              <w:t>分</w:t>
            </w:r>
          </w:p>
        </w:tc>
        <w:tc>
          <w:tcPr>
            <w:tcW w:w="176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开标地点</w:t>
            </w:r>
          </w:p>
        </w:tc>
        <w:tc>
          <w:tcPr>
            <w:tcW w:w="3380" w:type="dxa"/>
            <w:gridSpan w:val="3"/>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汕尾市公共资源交易中心陆丰分中心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4"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发布公告媒介</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本次公告同时在广东省招标投标监管网、汕尾市公共资源交易中心网站上发布，如公告内容不一致时，以汕尾市公共资源交易中心网站发布为准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7"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招标人</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cs="宋体"/>
                <w:b/>
                <w:bCs/>
                <w:color w:val="auto"/>
                <w:sz w:val="21"/>
                <w:szCs w:val="21"/>
                <w:lang w:val="en-US" w:eastAsia="zh-CN" w:bidi="ar-SA"/>
              </w:rPr>
              <w:t>陆丰市金厢镇人民政府</w:t>
            </w:r>
          </w:p>
        </w:tc>
        <w:tc>
          <w:tcPr>
            <w:tcW w:w="2042"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联系地址</w:t>
            </w:r>
          </w:p>
        </w:tc>
        <w:tc>
          <w:tcPr>
            <w:tcW w:w="310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陆丰市金厢镇人民政府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3"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招标人联系人</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bidi="ar-SA"/>
              </w:rPr>
            </w:pPr>
            <w:r>
              <w:rPr>
                <w:rFonts w:hint="eastAsia" w:cs="宋体"/>
                <w:b/>
                <w:bCs/>
                <w:color w:val="auto"/>
                <w:sz w:val="21"/>
                <w:szCs w:val="21"/>
                <w:lang w:val="en-US" w:eastAsia="zh-CN" w:bidi="ar-SA"/>
              </w:rPr>
              <w:t>郑先生</w:t>
            </w:r>
          </w:p>
        </w:tc>
        <w:tc>
          <w:tcPr>
            <w:tcW w:w="2042"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联系电话</w:t>
            </w:r>
          </w:p>
        </w:tc>
        <w:tc>
          <w:tcPr>
            <w:tcW w:w="310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cs="宋体"/>
                <w:b/>
                <w:bCs/>
                <w:color w:val="auto"/>
                <w:sz w:val="21"/>
                <w:szCs w:val="21"/>
                <w:lang w:val="en-US" w:eastAsia="zh-CN" w:bidi="ar-SA"/>
              </w:rPr>
              <w:t>0660-8226001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4"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招标代理机构</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广东广通采购招标有限公司</w:t>
            </w:r>
          </w:p>
        </w:tc>
        <w:tc>
          <w:tcPr>
            <w:tcW w:w="2042"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联系地址</w:t>
            </w:r>
          </w:p>
        </w:tc>
        <w:tc>
          <w:tcPr>
            <w:tcW w:w="310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cs="宋体"/>
                <w:b/>
                <w:bCs/>
                <w:color w:val="auto"/>
                <w:sz w:val="21"/>
                <w:szCs w:val="21"/>
                <w:lang w:val="en-US" w:eastAsia="zh-CN" w:bidi="ar-SA"/>
              </w:rPr>
              <w:t>陆丰市东海镇名晟花园二期商铺13栋西8号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6"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招标代理联系人</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邹先生</w:t>
            </w:r>
          </w:p>
        </w:tc>
        <w:tc>
          <w:tcPr>
            <w:tcW w:w="2042"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联系电话</w:t>
            </w:r>
          </w:p>
        </w:tc>
        <w:tc>
          <w:tcPr>
            <w:tcW w:w="310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cs="宋体"/>
                <w:b/>
                <w:bCs/>
                <w:color w:val="auto"/>
                <w:sz w:val="21"/>
                <w:szCs w:val="21"/>
                <w:lang w:val="en-US" w:eastAsia="zh-CN" w:bidi="ar-SA"/>
              </w:rPr>
              <w:t>17722523111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7"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招标监督机构</w:t>
            </w:r>
          </w:p>
        </w:tc>
        <w:tc>
          <w:tcPr>
            <w:tcW w:w="2693"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default" w:ascii="宋体" w:hAnsi="宋体" w:eastAsia="宋体" w:cs="宋体"/>
                <w:b/>
                <w:bCs/>
                <w:color w:val="auto"/>
                <w:sz w:val="21"/>
                <w:szCs w:val="21"/>
                <w:lang w:val="en-US" w:eastAsia="zh-CN" w:bidi="ar-SA"/>
              </w:rPr>
            </w:pPr>
            <w:r>
              <w:rPr>
                <w:rFonts w:hint="eastAsia" w:cs="宋体"/>
                <w:b/>
                <w:bCs/>
                <w:color w:val="auto"/>
                <w:sz w:val="21"/>
                <w:szCs w:val="21"/>
                <w:lang w:val="en-US" w:eastAsia="zh-CN" w:bidi="ar-SA"/>
              </w:rPr>
              <w:t>陆丰市交通运输局</w:t>
            </w:r>
          </w:p>
        </w:tc>
        <w:tc>
          <w:tcPr>
            <w:tcW w:w="2042"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联系电话</w:t>
            </w:r>
          </w:p>
        </w:tc>
        <w:tc>
          <w:tcPr>
            <w:tcW w:w="3106" w:type="dxa"/>
            <w:gridSpan w:val="2"/>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zh-CN" w:bidi="ar-SA"/>
              </w:rPr>
              <w:t>0660-8512698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66" w:hRule="atLeast"/>
        </w:trPr>
        <w:tc>
          <w:tcPr>
            <w:tcW w:w="2058" w:type="dxa"/>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en-US" w:bidi="ar-SA"/>
              </w:rPr>
              <w:t>其他依法应当载明的内容</w:t>
            </w:r>
          </w:p>
        </w:tc>
        <w:tc>
          <w:tcPr>
            <w:tcW w:w="7841" w:type="dxa"/>
            <w:gridSpan w:val="5"/>
            <w:vAlign w:val="center"/>
          </w:tcPr>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zh-CN" w:bidi="ar-SA"/>
              </w:rPr>
            </w:pPr>
            <w:r>
              <w:rPr>
                <w:rFonts w:hint="eastAsia" w:ascii="宋体" w:hAnsi="宋体" w:eastAsia="宋体" w:cs="宋体"/>
                <w:b/>
                <w:bCs/>
                <w:color w:val="auto"/>
                <w:sz w:val="21"/>
                <w:szCs w:val="21"/>
                <w:lang w:val="en-US" w:eastAsia="zh-CN" w:bidi="ar-SA"/>
              </w:rPr>
              <w:t>1、答疑时间：投标人或者其他利害关系人对招标文件有异议的，应当在</w:t>
            </w:r>
            <w:r>
              <w:rPr>
                <w:rFonts w:hint="eastAsia" w:cs="宋体"/>
                <w:b/>
                <w:bCs/>
                <w:color w:val="auto"/>
                <w:sz w:val="21"/>
                <w:szCs w:val="21"/>
                <w:u w:val="none"/>
                <w:lang w:val="en-US" w:eastAsia="zh-CN" w:bidi="ar-SA"/>
              </w:rPr>
              <w:t>2024</w:t>
            </w:r>
            <w:r>
              <w:rPr>
                <w:rFonts w:hint="eastAsia" w:ascii="宋体" w:hAnsi="宋体" w:eastAsia="宋体" w:cs="宋体"/>
                <w:b/>
                <w:bCs/>
                <w:color w:val="auto"/>
                <w:sz w:val="21"/>
                <w:szCs w:val="21"/>
                <w:u w:val="none"/>
                <w:lang w:val="en-US" w:eastAsia="zh-CN" w:bidi="ar-SA"/>
              </w:rPr>
              <w:t>年</w:t>
            </w:r>
            <w:r>
              <w:rPr>
                <w:rFonts w:hint="eastAsia" w:cs="宋体"/>
                <w:b/>
                <w:bCs/>
                <w:color w:val="auto"/>
                <w:sz w:val="21"/>
                <w:szCs w:val="21"/>
                <w:u w:val="none"/>
                <w:lang w:val="en-US" w:eastAsia="zh-CN" w:bidi="ar-SA"/>
              </w:rPr>
              <w:t xml:space="preserve"> </w:t>
            </w:r>
            <w:r>
              <w:rPr>
                <w:rFonts w:hint="eastAsia" w:ascii="宋体" w:hAnsi="宋体" w:eastAsia="宋体" w:cs="宋体"/>
                <w:b/>
                <w:bCs/>
                <w:color w:val="auto"/>
                <w:sz w:val="21"/>
                <w:szCs w:val="21"/>
                <w:lang w:val="en-US" w:eastAsia="zh-CN" w:bidi="ar-SA"/>
              </w:rPr>
              <w:t>月</w:t>
            </w:r>
            <w:r>
              <w:rPr>
                <w:rFonts w:hint="eastAsia" w:cs="宋体"/>
                <w:b/>
                <w:bCs/>
                <w:color w:val="auto"/>
                <w:sz w:val="21"/>
                <w:szCs w:val="21"/>
                <w:lang w:val="en-US" w:eastAsia="zh-CN" w:bidi="ar-SA"/>
              </w:rPr>
              <w:t xml:space="preserve"> </w:t>
            </w:r>
            <w:r>
              <w:rPr>
                <w:rFonts w:hint="eastAsia" w:ascii="宋体" w:hAnsi="宋体" w:eastAsia="宋体" w:cs="宋体"/>
                <w:b/>
                <w:bCs/>
                <w:color w:val="auto"/>
                <w:sz w:val="21"/>
                <w:szCs w:val="21"/>
                <w:lang w:val="en-US" w:eastAsia="zh-CN" w:bidi="ar-SA"/>
              </w:rPr>
              <w:t>日10:00前，通过登录汕尾市公共资源交易平台建设工程网上交易系统进行网上提问，逾期不再受理，按收到时间为准，招标人应当自招标代理机构收到异议之日起3日内作出答复；作出答复前，应当暂停招标投标活动。</w:t>
            </w:r>
          </w:p>
          <w:p>
            <w:pPr>
              <w:pStyle w:val="45"/>
              <w:keepNext w:val="0"/>
              <w:keepLines w:val="0"/>
              <w:pageBreakBefore w:val="0"/>
              <w:widowControl w:val="0"/>
              <w:kinsoku/>
              <w:wordWrap/>
              <w:overflowPunct/>
              <w:topLinePunct w:val="0"/>
              <w:autoSpaceDE/>
              <w:autoSpaceDN/>
              <w:bidi w:val="0"/>
              <w:adjustRightInd/>
              <w:snapToGrid/>
              <w:spacing w:line="223" w:lineRule="auto"/>
              <w:ind w:left="0" w:right="0" w:rightChars="0"/>
              <w:jc w:val="center"/>
              <w:textAlignment w:val="auto"/>
              <w:rPr>
                <w:rFonts w:hint="eastAsia" w:ascii="宋体" w:hAnsi="宋体" w:eastAsia="宋体" w:cs="宋体"/>
                <w:b/>
                <w:bCs/>
                <w:color w:val="auto"/>
                <w:sz w:val="21"/>
                <w:szCs w:val="21"/>
                <w:lang w:val="en-US" w:eastAsia="en-US" w:bidi="ar-SA"/>
              </w:rPr>
            </w:pPr>
            <w:r>
              <w:rPr>
                <w:rFonts w:hint="eastAsia" w:ascii="宋体" w:hAnsi="宋体" w:eastAsia="宋体" w:cs="宋体"/>
                <w:b/>
                <w:bCs/>
                <w:color w:val="auto"/>
                <w:sz w:val="21"/>
                <w:szCs w:val="21"/>
                <w:lang w:val="en-US" w:eastAsia="zh-CN" w:bidi="ar-SA"/>
              </w:rPr>
              <w:t>2、招标人可以对已发出的招标文件进行必要的澄清或者修改。澄清或者修改的内容可能影响投标文件编制的，招标人应当在投标截止时间至少15日前，以书面形式在广东省招标投标监管网和汕尾市公共资源交易中心门户网站发布，即视为送达所有投标人。不足15日的，招标人应当顺延提交投标文件的截止时间，具体以广东省招标投标监管网和汕尾市公共资源交易中心门户网站发布为准。</w:t>
            </w:r>
          </w:p>
        </w:tc>
      </w:tr>
    </w:tbl>
    <w:p>
      <w:pPr>
        <w:spacing w:line="360" w:lineRule="auto"/>
        <w:ind w:left="-649" w:leftChars="-295" w:right="-768" w:rightChars="-349" w:firstLine="723" w:firstLineChars="300"/>
        <w:jc w:val="both"/>
        <w:rPr>
          <w:rFonts w:hint="eastAsia"/>
          <w:b/>
          <w:bCs/>
          <w:sz w:val="24"/>
          <w:szCs w:val="24"/>
          <w:lang w:val="en-US"/>
        </w:rPr>
        <w:sectPr>
          <w:footerReference r:id="rId9" w:type="default"/>
          <w:pgSz w:w="11911" w:h="16838"/>
          <w:pgMar w:top="1247" w:right="1134" w:bottom="1247" w:left="1134" w:header="737" w:footer="850" w:gutter="0"/>
          <w:pgNumType w:fmt="numberInDash"/>
          <w:cols w:space="0" w:num="1"/>
          <w:rtlGutter w:val="0"/>
          <w:docGrid w:linePitch="0" w:charSpace="0"/>
        </w:sectPr>
      </w:pPr>
    </w:p>
    <w:p>
      <w:pPr>
        <w:spacing w:line="360" w:lineRule="auto"/>
        <w:ind w:left="-649" w:leftChars="-295" w:right="-768" w:rightChars="-349" w:firstLine="723" w:firstLineChars="300"/>
        <w:jc w:val="both"/>
        <w:rPr>
          <w:b/>
          <w:bCs/>
          <w:sz w:val="24"/>
          <w:szCs w:val="24"/>
          <w:lang w:val="en-US"/>
        </w:rPr>
      </w:pPr>
      <w:r>
        <w:rPr>
          <w:rFonts w:hint="eastAsia"/>
          <w:b/>
          <w:bCs/>
          <w:sz w:val="24"/>
          <w:szCs w:val="24"/>
          <w:lang w:val="en-US"/>
        </w:rPr>
        <w:t>附件</w:t>
      </w:r>
      <w:r>
        <w:rPr>
          <w:rFonts w:hint="eastAsia"/>
          <w:b/>
          <w:bCs/>
          <w:sz w:val="24"/>
          <w:szCs w:val="24"/>
          <w:lang w:val="en-US" w:eastAsia="zh-CN"/>
        </w:rPr>
        <w:t>一</w:t>
      </w:r>
      <w:r>
        <w:rPr>
          <w:rFonts w:hint="eastAsia"/>
          <w:b/>
          <w:bCs/>
          <w:sz w:val="24"/>
          <w:szCs w:val="24"/>
          <w:lang w:val="en-US"/>
        </w:rPr>
        <w:t>：</w:t>
      </w:r>
    </w:p>
    <w:p>
      <w:pPr>
        <w:keepNext w:val="0"/>
        <w:keepLines w:val="0"/>
        <w:suppressLineNumbers w:val="0"/>
        <w:spacing w:before="0" w:beforeAutospacing="0" w:after="0" w:afterAutospacing="0"/>
        <w:ind w:left="0" w:right="0"/>
        <w:jc w:val="center"/>
        <w:rPr>
          <w:rFonts w:hint="eastAsia"/>
          <w:b/>
          <w:szCs w:val="21"/>
          <w:lang w:val="en-US" w:eastAsia="zh-CN"/>
        </w:rPr>
      </w:pPr>
      <w:r>
        <w:rPr>
          <w:rFonts w:hint="eastAsia"/>
          <w:b/>
          <w:szCs w:val="21"/>
          <w:lang w:val="en-US" w:eastAsia="zh-CN"/>
        </w:rPr>
        <w:t>材料清单表格格式</w:t>
      </w:r>
    </w:p>
    <w:p>
      <w:pPr>
        <w:keepNext w:val="0"/>
        <w:keepLines w:val="0"/>
        <w:suppressLineNumbers w:val="0"/>
        <w:spacing w:before="0" w:beforeAutospacing="0" w:after="0" w:afterAutospacing="0"/>
        <w:ind w:left="0" w:right="0"/>
        <w:rPr>
          <w:rFonts w:hint="eastAsia"/>
          <w:b/>
          <w:szCs w:val="21"/>
          <w:lang w:val="en-US"/>
        </w:rPr>
      </w:pPr>
      <w:r>
        <w:rPr>
          <w:rFonts w:hint="eastAsia"/>
          <w:b/>
          <w:szCs w:val="21"/>
          <w:lang w:val="en-US"/>
        </w:rPr>
        <w:t>项目名称：</w:t>
      </w:r>
      <w:r>
        <w:rPr>
          <w:rFonts w:hint="eastAsia"/>
          <w:b/>
          <w:szCs w:val="21"/>
          <w:lang w:val="en-US" w:eastAsia="zh-CN"/>
        </w:rPr>
        <w:t>陆丰市金厢镇洲渚村环村东路道路工程</w:t>
      </w:r>
      <w:r>
        <w:rPr>
          <w:rFonts w:hint="eastAsia"/>
          <w:b/>
          <w:szCs w:val="21"/>
          <w:lang w:val="en-US"/>
        </w:rPr>
        <w:t>投标单位（盖公章）</w:t>
      </w:r>
    </w:p>
    <w:tbl>
      <w:tblPr>
        <w:tblStyle w:val="25"/>
        <w:tblW w:w="499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56"/>
        <w:gridCol w:w="1489"/>
        <w:gridCol w:w="2020"/>
        <w:gridCol w:w="1955"/>
        <w:gridCol w:w="1740"/>
        <w:gridCol w:w="19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trPr>
        <w:tc>
          <w:tcPr>
            <w:tcW w:w="1026"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投标人名称</w:t>
            </w:r>
          </w:p>
        </w:tc>
        <w:tc>
          <w:tcPr>
            <w:tcW w:w="3973" w:type="pct"/>
            <w:gridSpan w:val="4"/>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(填写投标人名称)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1026" w:type="pct"/>
            <w:gridSpan w:val="2"/>
            <w:vMerge w:val="restart"/>
            <w:tcBorders>
              <w:top w:val="nil"/>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投标人联系方式</w:t>
            </w:r>
          </w:p>
        </w:tc>
        <w:tc>
          <w:tcPr>
            <w:tcW w:w="2047" w:type="pct"/>
            <w:gridSpan w:val="2"/>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(填写投标人代表姓名)</w:t>
            </w:r>
          </w:p>
        </w:tc>
        <w:tc>
          <w:tcPr>
            <w:tcW w:w="1925" w:type="pct"/>
            <w:gridSpan w:val="2"/>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(填写投标人代表身份证号码)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trPr>
        <w:tc>
          <w:tcPr>
            <w:tcW w:w="1026" w:type="pct"/>
            <w:gridSpan w:val="2"/>
            <w:vMerge w:val="continue"/>
            <w:tcBorders>
              <w:top w:val="nil"/>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p>
        </w:tc>
        <w:tc>
          <w:tcPr>
            <w:tcW w:w="2047" w:type="pct"/>
            <w:gridSpan w:val="2"/>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(填写座机号码)</w:t>
            </w:r>
          </w:p>
        </w:tc>
        <w:tc>
          <w:tcPr>
            <w:tcW w:w="1925" w:type="pct"/>
            <w:gridSpan w:val="2"/>
            <w:tcBorders>
              <w:top w:val="single" w:color="auto" w:sz="4" w:space="0"/>
              <w:left w:val="nil"/>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eastAsia"/>
                <w:b/>
                <w:szCs w:val="21"/>
              </w:rPr>
            </w:pPr>
            <w:r>
              <w:rPr>
                <w:rFonts w:hint="eastAsia"/>
                <w:b/>
                <w:szCs w:val="21"/>
              </w:rPr>
              <w:t>(填写手机号码)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0" w:hRule="atLeast"/>
        </w:trPr>
        <w:tc>
          <w:tcPr>
            <w:tcW w:w="1026" w:type="pct"/>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b/>
                <w:szCs w:val="21"/>
              </w:rPr>
            </w:pPr>
            <w:r>
              <w:rPr>
                <w:rFonts w:hint="eastAsia"/>
                <w:b/>
                <w:szCs w:val="21"/>
              </w:rPr>
              <w:t>招标人或招标代理机构接收资料人员签名</w:t>
            </w:r>
          </w:p>
        </w:tc>
        <w:tc>
          <w:tcPr>
            <w:tcW w:w="1039" w:type="pct"/>
            <w:tcBorders>
              <w:top w:val="single" w:color="auto" w:sz="4" w:space="0"/>
              <w:left w:val="nil"/>
              <w:bottom w:val="single" w:color="auto" w:sz="4" w:space="0"/>
              <w:right w:val="single" w:color="auto" w:sz="4" w:space="0"/>
            </w:tcBorders>
            <w:vAlign w:val="bottom"/>
          </w:tcPr>
          <w:p>
            <w:pPr>
              <w:keepNext w:val="0"/>
              <w:keepLines w:val="0"/>
              <w:suppressLineNumbers w:val="0"/>
              <w:spacing w:before="0" w:beforeAutospacing="0" w:after="0" w:afterAutospacing="0" w:line="480" w:lineRule="auto"/>
              <w:ind w:left="0" w:right="0" w:firstLine="221" w:firstLineChars="100"/>
              <w:rPr>
                <w:b/>
                <w:szCs w:val="21"/>
              </w:rPr>
            </w:pPr>
            <w:r>
              <w:rPr>
                <w:rFonts w:hint="eastAsia"/>
                <w:b/>
                <w:szCs w:val="21"/>
              </w:rPr>
              <w:t>年月日</w:t>
            </w: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bCs/>
                <w:szCs w:val="21"/>
              </w:rPr>
            </w:pPr>
            <w:r>
              <w:rPr>
                <w:rFonts w:hint="eastAsia"/>
                <w:b/>
                <w:bCs/>
                <w:szCs w:val="21"/>
              </w:rPr>
              <w:t>投标人的</w:t>
            </w:r>
            <w:r>
              <w:rPr>
                <w:rFonts w:hint="eastAsia"/>
                <w:b/>
                <w:szCs w:val="21"/>
              </w:rPr>
              <w:t>法定代表人或被委托人</w:t>
            </w:r>
            <w:r>
              <w:rPr>
                <w:rFonts w:hint="eastAsia"/>
                <w:b/>
                <w:bCs/>
                <w:szCs w:val="21"/>
              </w:rPr>
              <w:t>签名</w:t>
            </w:r>
          </w:p>
        </w:tc>
        <w:tc>
          <w:tcPr>
            <w:tcW w:w="1027" w:type="pct"/>
            <w:tcBorders>
              <w:top w:val="single" w:color="auto" w:sz="4" w:space="0"/>
              <w:left w:val="nil"/>
              <w:bottom w:val="single" w:color="auto" w:sz="4" w:space="0"/>
              <w:right w:val="single" w:color="auto" w:sz="4" w:space="0"/>
            </w:tcBorders>
            <w:vAlign w:val="bottom"/>
          </w:tcPr>
          <w:p>
            <w:pPr>
              <w:keepNext w:val="0"/>
              <w:keepLines w:val="0"/>
              <w:suppressLineNumbers w:val="0"/>
              <w:spacing w:before="0" w:beforeAutospacing="0" w:after="0" w:afterAutospacing="0" w:line="480" w:lineRule="auto"/>
              <w:ind w:left="0" w:right="0" w:firstLine="221" w:firstLineChars="100"/>
              <w:rPr>
                <w:b/>
                <w:szCs w:val="21"/>
              </w:rPr>
            </w:pPr>
            <w:r>
              <w:rPr>
                <w:rFonts w:hint="eastAsia"/>
                <w:b/>
                <w:szCs w:val="21"/>
              </w:rPr>
              <w:t>年月日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vMerge w:val="restart"/>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szCs w:val="21"/>
              </w:rPr>
            </w:pPr>
            <w:r>
              <w:rPr>
                <w:rFonts w:hint="eastAsia"/>
                <w:b/>
                <w:szCs w:val="21"/>
              </w:rPr>
              <w:t>序号</w:t>
            </w:r>
          </w:p>
        </w:tc>
        <w:tc>
          <w:tcPr>
            <w:tcW w:w="1811" w:type="pct"/>
            <w:gridSpan w:val="2"/>
            <w:vMerge w:val="restart"/>
            <w:tcBorders>
              <w:top w:val="nil"/>
              <w:left w:val="nil"/>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szCs w:val="21"/>
              </w:rPr>
            </w:pPr>
            <w:r>
              <w:rPr>
                <w:rFonts w:hint="eastAsia"/>
                <w:b/>
                <w:szCs w:val="21"/>
              </w:rPr>
              <w:t>材料（原件）目录名称</w:t>
            </w:r>
          </w:p>
        </w:tc>
        <w:tc>
          <w:tcPr>
            <w:tcW w:w="1905" w:type="pct"/>
            <w:gridSpan w:val="2"/>
            <w:vMerge w:val="restart"/>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szCs w:val="21"/>
              </w:rPr>
            </w:pPr>
            <w:r>
              <w:rPr>
                <w:rFonts w:hint="eastAsia"/>
                <w:b/>
                <w:bCs/>
                <w:szCs w:val="21"/>
              </w:rPr>
              <w:t>原件材料说明或份数</w:t>
            </w: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szCs w:val="21"/>
              </w:rPr>
            </w:pPr>
            <w:r>
              <w:rPr>
                <w:rFonts w:hint="eastAsia"/>
                <w:b/>
                <w:szCs w:val="21"/>
              </w:rPr>
              <w:t>审核情况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255" w:type="pct"/>
            <w:vMerge w:val="continue"/>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rPr>
                <w:b/>
                <w:szCs w:val="21"/>
              </w:rPr>
            </w:pPr>
          </w:p>
        </w:tc>
        <w:tc>
          <w:tcPr>
            <w:tcW w:w="1811" w:type="pct"/>
            <w:gridSpan w:val="2"/>
            <w:vMerge w:val="continue"/>
            <w:tcBorders>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rPr>
                <w:b/>
                <w:szCs w:val="21"/>
              </w:rPr>
            </w:pPr>
          </w:p>
        </w:tc>
        <w:tc>
          <w:tcPr>
            <w:tcW w:w="1905" w:type="pct"/>
            <w:gridSpan w:val="2"/>
            <w:vMerge w:val="continue"/>
            <w:tcBorders>
              <w:top w:val="nil"/>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rPr>
                <w:b/>
                <w:szCs w:val="21"/>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b/>
                <w:szCs w:val="21"/>
              </w:rPr>
            </w:pPr>
            <w:r>
              <w:rPr>
                <w:rFonts w:hint="eastAsia"/>
                <w:b/>
                <w:szCs w:val="21"/>
              </w:rPr>
              <w:t>(招标代理机构填写)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1</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3" w:leftChars="-5" w:right="0" w:hanging="14" w:hangingChars="6"/>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2</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3</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3" w:leftChars="-5" w:right="0" w:hanging="14" w:hangingChars="6"/>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4</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5</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6</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7</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8</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9</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r>
              <w:rPr>
                <w:rFonts w:hint="eastAsia"/>
                <w:sz w:val="24"/>
              </w:rPr>
              <w:t>10</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55" w:type="pct"/>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Cs w:val="21"/>
              </w:rPr>
            </w:pPr>
            <w:r>
              <w:rPr>
                <w:rFonts w:hint="eastAsia"/>
                <w:szCs w:val="21"/>
              </w:rPr>
              <w:t>……</w:t>
            </w:r>
          </w:p>
        </w:tc>
        <w:tc>
          <w:tcPr>
            <w:tcW w:w="1811"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Cs w:val="21"/>
              </w:rPr>
            </w:pPr>
            <w:r>
              <w:rPr>
                <w:rFonts w:hint="eastAsia"/>
                <w:szCs w:val="21"/>
              </w:rPr>
              <w:t>……</w:t>
            </w:r>
          </w:p>
        </w:tc>
        <w:tc>
          <w:tcPr>
            <w:tcW w:w="1905" w:type="pct"/>
            <w:gridSpan w:val="2"/>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Cs w:val="21"/>
              </w:rPr>
            </w:pPr>
            <w:r>
              <w:rPr>
                <w:rFonts w:hint="eastAsia"/>
                <w:szCs w:val="21"/>
              </w:rPr>
              <w:t>……</w:t>
            </w:r>
          </w:p>
        </w:tc>
        <w:tc>
          <w:tcPr>
            <w:tcW w:w="1027" w:type="pct"/>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line="260" w:lineRule="exact"/>
              <w:ind w:left="0" w:right="0"/>
              <w:jc w:val="center"/>
              <w:rPr>
                <w:szCs w:val="21"/>
              </w:rPr>
            </w:pPr>
            <w:r>
              <w:rPr>
                <w:rFonts w:hint="eastAsia"/>
                <w:szCs w:val="21"/>
              </w:rPr>
              <w:t>……</w:t>
            </w:r>
          </w:p>
        </w:tc>
      </w:tr>
    </w:tbl>
    <w:p>
      <w:pPr>
        <w:widowControl/>
        <w:shd w:val="clear" w:color="auto" w:fill="FFFFFF"/>
        <w:snapToGrid w:val="0"/>
        <w:spacing w:line="300" w:lineRule="exact"/>
        <w:ind w:firstLine="220" w:firstLineChars="100"/>
        <w:rPr>
          <w:szCs w:val="21"/>
        </w:rPr>
      </w:pPr>
      <w:r>
        <w:rPr>
          <w:rFonts w:hint="eastAsia"/>
          <w:szCs w:val="21"/>
        </w:rPr>
        <w:t>注：</w:t>
      </w:r>
    </w:p>
    <w:p>
      <w:pPr>
        <w:widowControl/>
        <w:shd w:val="clear" w:color="auto" w:fill="FFFFFF"/>
        <w:snapToGrid w:val="0"/>
        <w:spacing w:line="300" w:lineRule="exact"/>
        <w:ind w:firstLine="440" w:firstLineChars="200"/>
        <w:rPr>
          <w:szCs w:val="21"/>
        </w:rPr>
      </w:pPr>
      <w:r>
        <w:rPr>
          <w:rFonts w:hint="eastAsia"/>
          <w:szCs w:val="21"/>
        </w:rPr>
        <w:t>1、本表一式两份，招标代理机构、投标人各持一份。表格中的“审核确认”栏需双方签署。投标人应在本表盖其公章。</w:t>
      </w:r>
    </w:p>
    <w:p>
      <w:pPr>
        <w:widowControl/>
        <w:shd w:val="clear" w:color="auto" w:fill="FFFFFF"/>
        <w:snapToGrid w:val="0"/>
        <w:spacing w:line="300" w:lineRule="exact"/>
        <w:ind w:firstLine="440" w:firstLineChars="200"/>
        <w:rPr>
          <w:szCs w:val="21"/>
        </w:rPr>
      </w:pPr>
      <w:r>
        <w:rPr>
          <w:rFonts w:hint="eastAsia"/>
          <w:szCs w:val="21"/>
        </w:rPr>
        <w:t>2、本表审核情况栏须留空，由招标人或招标代理机构收资料人员审核后填写。</w:t>
      </w:r>
    </w:p>
    <w:p>
      <w:pPr>
        <w:widowControl/>
        <w:shd w:val="clear" w:color="auto" w:fill="FFFFFF"/>
        <w:snapToGrid w:val="0"/>
        <w:spacing w:line="300" w:lineRule="exact"/>
        <w:ind w:firstLine="440" w:firstLineChars="200"/>
        <w:rPr>
          <w:szCs w:val="21"/>
        </w:rPr>
      </w:pPr>
      <w:r>
        <w:rPr>
          <w:rFonts w:hint="eastAsia"/>
          <w:szCs w:val="21"/>
        </w:rPr>
        <w:t>3、本表中有修改情况，须经招标人或招标代理机构接收资料人员和投标人代表共同签署。</w:t>
      </w:r>
    </w:p>
    <w:p>
      <w:pPr>
        <w:tabs>
          <w:tab w:val="left" w:pos="7461"/>
          <w:tab w:val="left" w:pos="8421"/>
          <w:tab w:val="left" w:pos="9261"/>
        </w:tabs>
        <w:spacing w:before="74" w:line="340" w:lineRule="exact"/>
        <w:ind w:right="-35" w:rightChars="-16"/>
        <w:jc w:val="both"/>
        <w:rPr>
          <w:rFonts w:hint="eastAsia"/>
          <w:color w:val="auto"/>
          <w:sz w:val="24"/>
          <w:szCs w:val="24"/>
        </w:rPr>
      </w:pPr>
      <w:r>
        <w:rPr>
          <w:rFonts w:hint="eastAsia"/>
          <w:szCs w:val="21"/>
        </w:rPr>
        <w:t>4、本表须打印在A4纸质上，也可另增页打印。</w:t>
      </w:r>
    </w:p>
    <w:p>
      <w:pPr>
        <w:pStyle w:val="13"/>
        <w:ind w:right="968" w:rightChars="440"/>
        <w:rPr>
          <w:color w:val="auto"/>
          <w:sz w:val="24"/>
          <w:szCs w:val="2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p>
    <w:p>
      <w:pPr>
        <w:tabs>
          <w:tab w:val="left" w:pos="4504"/>
        </w:tabs>
        <w:spacing w:before="22"/>
        <w:jc w:val="center"/>
        <w:rPr>
          <w:b/>
          <w:bCs/>
          <w:color w:val="auto"/>
          <w:sz w:val="44"/>
          <w:szCs w:val="44"/>
        </w:rPr>
      </w:pPr>
      <w:r>
        <w:rPr>
          <w:b/>
          <w:bCs/>
          <w:color w:val="auto"/>
          <w:sz w:val="44"/>
          <w:szCs w:val="44"/>
        </w:rPr>
        <w:t>第二章投标人须知</w:t>
      </w:r>
    </w:p>
    <w:p>
      <w:pPr>
        <w:rPr>
          <w:color w:val="auto"/>
          <w:sz w:val="56"/>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spacing w:before="215"/>
        <w:jc w:val="center"/>
        <w:rPr>
          <w:b/>
          <w:bCs/>
          <w:color w:val="auto"/>
          <w:sz w:val="36"/>
          <w:szCs w:val="36"/>
        </w:rPr>
      </w:pPr>
      <w:r>
        <w:rPr>
          <w:b/>
          <w:bCs/>
          <w:color w:val="auto"/>
          <w:sz w:val="36"/>
          <w:szCs w:val="36"/>
        </w:rPr>
        <w:t>第二章投标人须知</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textAlignment w:val="auto"/>
      </w:pPr>
      <w:r>
        <w:rPr>
          <w:color w:val="auto"/>
          <w:sz w:val="24"/>
          <w:szCs w:val="24"/>
        </w:rPr>
        <w:t>投标人须知前附表1</w:t>
      </w:r>
    </w:p>
    <w:tbl>
      <w:tblPr>
        <w:tblStyle w:val="25"/>
        <w:tblpPr w:leftFromText="180" w:rightFromText="180" w:vertAnchor="text" w:horzAnchor="page" w:tblpX="1120" w:tblpY="307"/>
        <w:tblOverlap w:val="never"/>
        <w:tblW w:w="965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18"/>
        <w:gridCol w:w="2969"/>
        <w:gridCol w:w="55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0"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条款号</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条款名称</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编列内容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6"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招标人</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名称：</w:t>
            </w:r>
            <w:r>
              <w:rPr>
                <w:rFonts w:hint="eastAsia" w:cs="宋体"/>
                <w:color w:val="auto"/>
                <w:sz w:val="24"/>
                <w:szCs w:val="24"/>
                <w:lang w:val="en-US" w:eastAsia="zh-CN"/>
              </w:rPr>
              <w:t>陆丰市金厢镇人民政府</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地址：</w:t>
            </w:r>
            <w:r>
              <w:rPr>
                <w:rFonts w:hint="eastAsia" w:cs="宋体"/>
                <w:color w:val="auto"/>
                <w:sz w:val="24"/>
                <w:szCs w:val="24"/>
                <w:lang w:val="en-US" w:eastAsia="zh-CN"/>
              </w:rPr>
              <w:t>陆丰市金厢镇人民政府</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联系人：</w:t>
            </w:r>
            <w:r>
              <w:rPr>
                <w:rFonts w:hint="eastAsia" w:cs="宋体"/>
                <w:color w:val="auto"/>
                <w:sz w:val="24"/>
                <w:szCs w:val="24"/>
                <w:lang w:val="en-US" w:eastAsia="zh-CN"/>
              </w:rPr>
              <w:t>郑先生</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rPr>
              <w:t>电话：</w:t>
            </w:r>
            <w:r>
              <w:rPr>
                <w:rFonts w:hint="eastAsia" w:cs="宋体"/>
                <w:color w:val="auto"/>
                <w:sz w:val="24"/>
                <w:szCs w:val="24"/>
                <w:lang w:eastAsia="zh-CN"/>
              </w:rPr>
              <w:t>0660-8226001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招标代理机构</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名称：</w:t>
            </w:r>
            <w:r>
              <w:rPr>
                <w:rFonts w:hint="eastAsia" w:cs="宋体"/>
                <w:color w:val="auto"/>
                <w:sz w:val="24"/>
                <w:szCs w:val="24"/>
                <w:lang w:eastAsia="zh-CN"/>
              </w:rPr>
              <w:t>广东广通采购招标有限公司</w:t>
            </w:r>
          </w:p>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bidi="zh-CN"/>
              </w:rPr>
              <w:t>地址：</w:t>
            </w:r>
            <w:r>
              <w:rPr>
                <w:rFonts w:hint="eastAsia" w:cs="宋体"/>
                <w:color w:val="auto"/>
                <w:sz w:val="24"/>
                <w:szCs w:val="24"/>
                <w:lang w:val="en-US" w:eastAsia="zh-CN" w:bidi="zh-CN"/>
              </w:rPr>
              <w:t>陆丰市东海镇名晟花园二期商铺13栋西8号</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rPr>
              <w:t>联系人：</w:t>
            </w:r>
            <w:r>
              <w:rPr>
                <w:rFonts w:hint="eastAsia" w:cs="宋体"/>
                <w:color w:val="auto"/>
                <w:sz w:val="24"/>
                <w:szCs w:val="24"/>
                <w:lang w:val="en-US" w:eastAsia="zh-CN" w:bidi="zh-CN"/>
              </w:rPr>
              <w:t>邹先生</w:t>
            </w:r>
          </w:p>
          <w:p>
            <w:pPr>
              <w:keepNext w:val="0"/>
              <w:keepLines w:val="0"/>
              <w:pageBreakBefore w:val="0"/>
              <w:tabs>
                <w:tab w:val="left" w:pos="5503"/>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电话</w:t>
            </w:r>
            <w:r>
              <w:rPr>
                <w:rFonts w:hint="eastAsia" w:ascii="宋体" w:hAnsi="宋体" w:eastAsia="宋体" w:cs="宋体"/>
                <w:color w:val="auto"/>
                <w:sz w:val="24"/>
                <w:szCs w:val="24"/>
                <w:lang w:val="en-US" w:eastAsia="zh-CN" w:bidi="zh-CN"/>
              </w:rPr>
              <w:t>：</w:t>
            </w:r>
            <w:r>
              <w:rPr>
                <w:rFonts w:hint="eastAsia" w:cs="宋体"/>
                <w:color w:val="auto"/>
                <w:sz w:val="24"/>
                <w:szCs w:val="24"/>
                <w:lang w:val="en-US" w:eastAsia="zh-CN" w:bidi="zh-CN"/>
              </w:rPr>
              <w:t>17722523111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1.1.4</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招标项目名称</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000000" w:themeColor="text1"/>
                <w:sz w:val="24"/>
                <w:szCs w:val="24"/>
                <w:lang w:eastAsia="zh-CN"/>
                <w14:textFill>
                  <w14:solidFill>
                    <w14:schemeClr w14:val="tx1"/>
                  </w14:solidFill>
                </w14:textFill>
              </w:rPr>
            </w:pPr>
            <w:r>
              <w:rPr>
                <w:rFonts w:hint="eastAsia" w:cs="宋体"/>
                <w:color w:val="000000" w:themeColor="text1"/>
                <w:sz w:val="24"/>
                <w:szCs w:val="24"/>
                <w:lang w:eastAsia="zh-CN"/>
                <w14:textFill>
                  <w14:solidFill>
                    <w14:schemeClr w14:val="tx1"/>
                  </w14:solidFill>
                </w14:textFill>
              </w:rPr>
              <w:t>陆丰市金厢镇洲渚村环村东路道路工程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9"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1.1.5</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标段建设地点</w:t>
            </w:r>
          </w:p>
        </w:tc>
        <w:tc>
          <w:tcPr>
            <w:tcW w:w="5566" w:type="dxa"/>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eastAsia="zh-CN"/>
              </w:rPr>
            </w:pPr>
            <w:r>
              <w:rPr>
                <w:rFonts w:hint="eastAsia" w:cs="宋体"/>
                <w:color w:val="auto"/>
                <w:sz w:val="24"/>
                <w:szCs w:val="24"/>
                <w:lang w:eastAsia="zh-CN"/>
              </w:rPr>
              <w:t>汕尾市陆丰市金厢镇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4"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资金来源及比例</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2022年度广东省十大乡村振兴示范带奖励资金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资金落实情况</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已落实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85"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招标范围</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cs="宋体"/>
                <w:color w:val="auto"/>
                <w:sz w:val="24"/>
                <w:szCs w:val="24"/>
                <w:highlight w:val="none"/>
                <w:lang w:val="en-US" w:eastAsia="zh-CN"/>
              </w:rPr>
              <w:t>陆丰市金厢镇洲渚村环村东路道路工程</w:t>
            </w:r>
            <w:r>
              <w:rPr>
                <w:rFonts w:hint="eastAsia" w:ascii="宋体" w:hAnsi="宋体" w:eastAsia="宋体" w:cs="宋体"/>
                <w:color w:val="auto"/>
                <w:sz w:val="24"/>
                <w:szCs w:val="24"/>
                <w:lang w:val="en-US"/>
              </w:rPr>
              <w:t>，按批复的施工图设计的全部内容，</w:t>
            </w:r>
            <w:r>
              <w:rPr>
                <w:rFonts w:hint="eastAsia" w:cs="宋体"/>
                <w:color w:val="auto"/>
                <w:sz w:val="24"/>
                <w:szCs w:val="24"/>
                <w:lang w:val="en-US" w:eastAsia="zh-CN"/>
              </w:rPr>
              <w:t>交工</w:t>
            </w:r>
            <w:r>
              <w:rPr>
                <w:rFonts w:hint="eastAsia" w:ascii="宋体" w:hAnsi="宋体" w:eastAsia="宋体" w:cs="宋体"/>
                <w:color w:val="auto"/>
                <w:sz w:val="24"/>
                <w:szCs w:val="24"/>
                <w:lang w:val="en-US"/>
              </w:rPr>
              <w:t>验收以及缺陷责任期保修工作等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7"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计划工期</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计划工期：</w:t>
            </w:r>
            <w:r>
              <w:rPr>
                <w:rFonts w:hint="eastAsia" w:cs="宋体"/>
                <w:color w:val="auto"/>
                <w:sz w:val="24"/>
                <w:szCs w:val="24"/>
                <w:highlight w:val="none"/>
                <w:lang w:val="en-US" w:eastAsia="zh-CN"/>
              </w:rPr>
              <w:t>180日历天</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计划开工日期：(具体</w:t>
            </w:r>
            <w:r>
              <w:rPr>
                <w:rFonts w:hint="eastAsia" w:ascii="宋体" w:hAnsi="宋体" w:eastAsia="宋体" w:cs="宋体"/>
                <w:color w:val="auto"/>
                <w:sz w:val="24"/>
                <w:szCs w:val="24"/>
                <w:highlight w:val="none"/>
                <w:lang w:eastAsia="zh-CN"/>
              </w:rPr>
              <w:t>开工时间</w:t>
            </w:r>
            <w:r>
              <w:rPr>
                <w:rFonts w:hint="eastAsia" w:ascii="宋体" w:hAnsi="宋体" w:eastAsia="宋体" w:cs="宋体"/>
                <w:color w:val="auto"/>
                <w:sz w:val="24"/>
                <w:szCs w:val="24"/>
                <w:highlight w:val="none"/>
              </w:rPr>
              <w:t>以监理单位发出的开工令为准)</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计划竣工日期：/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7"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质量要求</w:t>
            </w:r>
          </w:p>
        </w:tc>
        <w:tc>
          <w:tcPr>
            <w:tcW w:w="5566" w:type="dxa"/>
            <w:vAlign w:val="center"/>
          </w:tcPr>
          <w:p>
            <w:pPr>
              <w:pStyle w:val="32"/>
              <w:keepNext w:val="0"/>
              <w:keepLines w:val="0"/>
              <w:pageBreakBefore w:val="0"/>
              <w:tabs>
                <w:tab w:val="left" w:pos="2524"/>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7"/>
                <w:sz w:val="24"/>
                <w:szCs w:val="24"/>
              </w:rPr>
            </w:pPr>
            <w:r>
              <w:rPr>
                <w:rFonts w:hint="eastAsia" w:ascii="宋体" w:hAnsi="宋体" w:eastAsia="宋体" w:cs="宋体"/>
                <w:color w:val="auto"/>
                <w:sz w:val="24"/>
                <w:szCs w:val="24"/>
              </w:rPr>
              <w:t>标段工程交工验收的质量评定：</w:t>
            </w:r>
            <w:r>
              <w:rPr>
                <w:rFonts w:hint="eastAsia" w:ascii="宋体" w:hAnsi="宋体" w:eastAsia="宋体" w:cs="宋体"/>
                <w:color w:val="auto"/>
                <w:sz w:val="24"/>
                <w:szCs w:val="24"/>
                <w:u w:val="single"/>
              </w:rPr>
              <w:t>合格</w:t>
            </w:r>
            <w:r>
              <w:rPr>
                <w:rFonts w:hint="eastAsia" w:ascii="宋体" w:hAnsi="宋体" w:eastAsia="宋体" w:cs="宋体"/>
                <w:color w:val="auto"/>
                <w:spacing w:val="-17"/>
                <w:sz w:val="24"/>
                <w:szCs w:val="24"/>
              </w:rPr>
              <w:t>。</w:t>
            </w:r>
          </w:p>
          <w:p>
            <w:pPr>
              <w:pStyle w:val="32"/>
              <w:keepNext w:val="0"/>
              <w:keepLines w:val="0"/>
              <w:pageBreakBefore w:val="0"/>
              <w:tabs>
                <w:tab w:val="left" w:pos="2524"/>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竣工验收的质量评定：</w:t>
            </w:r>
            <w:r>
              <w:rPr>
                <w:rFonts w:hint="eastAsia" w:ascii="宋体" w:hAnsi="宋体" w:eastAsia="宋体" w:cs="宋体"/>
                <w:color w:val="auto"/>
                <w:sz w:val="24"/>
                <w:szCs w:val="24"/>
                <w:u w:val="single"/>
              </w:rPr>
              <w:t>合格</w:t>
            </w:r>
            <w:r>
              <w:rPr>
                <w:rFonts w:hint="eastAsia" w:ascii="宋体" w:hAnsi="宋体" w:eastAsia="宋体" w:cs="宋体"/>
                <w:color w:val="auto"/>
                <w:sz w:val="24"/>
                <w:szCs w:val="24"/>
                <w:u w:val="single"/>
                <w:lang w:val="en-US"/>
              </w:rPr>
              <w:t>及以上</w:t>
            </w:r>
            <w:r>
              <w:rPr>
                <w:rFonts w:hint="eastAsia" w:ascii="宋体" w:hAnsi="宋体" w:eastAsia="宋体" w:cs="宋体"/>
                <w:color w:val="auto"/>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0"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1.3.4</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安全目标</w:t>
            </w:r>
          </w:p>
        </w:tc>
        <w:tc>
          <w:tcPr>
            <w:tcW w:w="5566" w:type="dxa"/>
            <w:vAlign w:val="center"/>
          </w:tcPr>
          <w:p>
            <w:pPr>
              <w:pStyle w:val="32"/>
              <w:keepNext w:val="0"/>
              <w:keepLines w:val="0"/>
              <w:pageBreakBefore w:val="0"/>
              <w:tabs>
                <w:tab w:val="left" w:pos="3678"/>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严格执行有关安全生产的法律法规和规章制度</w:t>
            </w:r>
            <w:r>
              <w:rPr>
                <w:rFonts w:hint="eastAsia" w:ascii="宋体" w:hAnsi="宋体" w:eastAsia="宋体" w:cs="宋体"/>
                <w:color w:val="auto"/>
                <w:spacing w:val="-26"/>
                <w:sz w:val="24"/>
                <w:szCs w:val="24"/>
              </w:rPr>
              <w:t>，</w:t>
            </w:r>
            <w:r>
              <w:rPr>
                <w:rFonts w:hint="eastAsia" w:ascii="宋体" w:hAnsi="宋体" w:eastAsia="宋体" w:cs="宋体"/>
                <w:color w:val="auto"/>
                <w:sz w:val="24"/>
                <w:szCs w:val="24"/>
              </w:rPr>
              <w:t>确保项目建设期内</w:t>
            </w:r>
            <w:r>
              <w:rPr>
                <w:rFonts w:hint="eastAsia" w:ascii="宋体" w:hAnsi="宋体" w:eastAsia="宋体" w:cs="宋体"/>
                <w:color w:val="auto"/>
                <w:sz w:val="24"/>
                <w:szCs w:val="24"/>
                <w:u w:val="single"/>
              </w:rPr>
              <w:t>杜绝因工死亡</w:t>
            </w:r>
            <w:r>
              <w:rPr>
                <w:rFonts w:hint="eastAsia" w:ascii="宋体" w:hAnsi="宋体" w:eastAsia="宋体" w:cs="宋体"/>
                <w:color w:val="auto"/>
                <w:sz w:val="24"/>
                <w:szCs w:val="24"/>
                <w:u w:val="single"/>
                <w:lang w:val="en-US"/>
              </w:rPr>
              <w:t>事故，</w:t>
            </w:r>
            <w:r>
              <w:rPr>
                <w:rFonts w:hint="eastAsia" w:ascii="宋体" w:hAnsi="宋体" w:eastAsia="宋体" w:cs="宋体"/>
                <w:color w:val="auto"/>
                <w:sz w:val="24"/>
                <w:szCs w:val="24"/>
                <w:u w:val="single"/>
              </w:rPr>
              <w:t>杜绝因工重伤</w:t>
            </w:r>
            <w:r>
              <w:rPr>
                <w:rFonts w:hint="eastAsia" w:ascii="宋体" w:hAnsi="宋体" w:eastAsia="宋体" w:cs="宋体"/>
                <w:color w:val="auto"/>
                <w:sz w:val="24"/>
                <w:szCs w:val="24"/>
                <w:u w:val="single"/>
                <w:lang w:val="en-US"/>
              </w:rPr>
              <w:t>事故，</w:t>
            </w:r>
            <w:r>
              <w:rPr>
                <w:rFonts w:hint="eastAsia" w:ascii="宋体" w:hAnsi="宋体" w:eastAsia="宋体" w:cs="宋体"/>
                <w:color w:val="auto"/>
                <w:sz w:val="24"/>
                <w:szCs w:val="24"/>
                <w:u w:val="single"/>
              </w:rPr>
              <w:t>杜绝大型机械及脚手架等重大安全责任</w:t>
            </w:r>
            <w:r>
              <w:rPr>
                <w:rFonts w:hint="eastAsia" w:ascii="宋体" w:hAnsi="宋体" w:eastAsia="宋体" w:cs="宋体"/>
                <w:color w:val="auto"/>
                <w:sz w:val="24"/>
                <w:szCs w:val="24"/>
                <w:u w:val="single"/>
                <w:lang w:val="en-US"/>
              </w:rPr>
              <w:t>事故，工程无永久性质量缺陷。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5"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投标人资质条件、能力和信誉</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6"/>
                <w:sz w:val="24"/>
                <w:szCs w:val="24"/>
              </w:rPr>
              <w:t>资质条件：见附录</w:t>
            </w:r>
            <w:r>
              <w:rPr>
                <w:rFonts w:hint="eastAsia" w:ascii="宋体" w:hAnsi="宋体" w:eastAsia="宋体" w:cs="宋体"/>
                <w:color w:val="auto"/>
                <w:sz w:val="24"/>
                <w:szCs w:val="24"/>
              </w:rPr>
              <w:t>1</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6"/>
                <w:sz w:val="24"/>
                <w:szCs w:val="24"/>
              </w:rPr>
              <w:t>财务要求：见附录</w:t>
            </w:r>
            <w:r>
              <w:rPr>
                <w:rFonts w:hint="eastAsia" w:ascii="宋体" w:hAnsi="宋体" w:eastAsia="宋体" w:cs="宋体"/>
                <w:color w:val="auto"/>
                <w:sz w:val="24"/>
                <w:szCs w:val="24"/>
              </w:rPr>
              <w:t>2</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6"/>
                <w:sz w:val="24"/>
                <w:szCs w:val="24"/>
              </w:rPr>
              <w:t>业绩要求：见附录</w:t>
            </w:r>
            <w:r>
              <w:rPr>
                <w:rFonts w:hint="eastAsia" w:ascii="宋体" w:hAnsi="宋体" w:eastAsia="宋体" w:cs="宋体"/>
                <w:color w:val="auto"/>
                <w:sz w:val="24"/>
                <w:szCs w:val="24"/>
              </w:rPr>
              <w:t>3</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6"/>
                <w:sz w:val="24"/>
                <w:szCs w:val="24"/>
              </w:rPr>
              <w:t>信誉要求：见附录</w:t>
            </w:r>
            <w:r>
              <w:rPr>
                <w:rFonts w:hint="eastAsia" w:ascii="宋体" w:hAnsi="宋体" w:eastAsia="宋体" w:cs="宋体"/>
                <w:color w:val="auto"/>
                <w:sz w:val="24"/>
                <w:szCs w:val="24"/>
              </w:rPr>
              <w:t>4</w:t>
            </w:r>
          </w:p>
          <w:p>
            <w:pPr>
              <w:pStyle w:val="32"/>
              <w:keepNext w:val="0"/>
              <w:keepLines w:val="0"/>
              <w:pageBreakBefore w:val="0"/>
              <w:tabs>
                <w:tab w:val="left" w:pos="462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项目经理和项目总工资格：见附录5</w:t>
            </w:r>
          </w:p>
          <w:p>
            <w:pPr>
              <w:pStyle w:val="32"/>
              <w:keepNext w:val="0"/>
              <w:keepLines w:val="0"/>
              <w:pageBreakBefore w:val="0"/>
              <w:tabs>
                <w:tab w:val="left" w:pos="462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其他管理和技术人员资格：见附录6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1.4.2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是否接受联合体投标</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不接受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8" w:hRule="atLeast"/>
        </w:trPr>
        <w:tc>
          <w:tcPr>
            <w:tcW w:w="1118" w:type="dxa"/>
            <w:vMerge w:val="restart"/>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1.10.2</w:t>
            </w:r>
          </w:p>
        </w:tc>
        <w:tc>
          <w:tcPr>
            <w:tcW w:w="2969" w:type="dxa"/>
            <w:vMerge w:val="restart"/>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投标人在投标预备</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会前提出问题</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时间：</w:t>
            </w:r>
            <w:r>
              <w:rPr>
                <w:rFonts w:hint="eastAsia" w:ascii="宋体" w:hAnsi="宋体" w:eastAsia="宋体" w:cs="宋体"/>
                <w:color w:val="auto"/>
                <w:sz w:val="24"/>
                <w:szCs w:val="24"/>
                <w:lang w:val="en-US"/>
              </w:rPr>
              <w:t>不</w:t>
            </w:r>
            <w:r>
              <w:rPr>
                <w:rFonts w:hint="eastAsia" w:ascii="宋体" w:hAnsi="宋体" w:eastAsia="宋体" w:cs="宋体"/>
                <w:color w:val="auto"/>
                <w:sz w:val="24"/>
                <w:szCs w:val="24"/>
              </w:rPr>
              <w:t>召开投标预备会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Merge w:val="continue"/>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tc>
        <w:tc>
          <w:tcPr>
            <w:tcW w:w="2969" w:type="dxa"/>
            <w:vMerge w:val="continue"/>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形式：</w:t>
            </w:r>
            <w:r>
              <w:rPr>
                <w:rFonts w:hint="eastAsia" w:ascii="宋体" w:hAnsi="宋体" w:eastAsia="宋体" w:cs="宋体"/>
                <w:color w:val="auto"/>
                <w:sz w:val="24"/>
                <w:szCs w:val="24"/>
                <w:lang w:val="en-US"/>
              </w:rPr>
              <w:t>不</w:t>
            </w:r>
            <w:r>
              <w:rPr>
                <w:rFonts w:hint="eastAsia" w:ascii="宋体" w:hAnsi="宋体" w:eastAsia="宋体" w:cs="宋体"/>
                <w:color w:val="auto"/>
                <w:sz w:val="24"/>
                <w:szCs w:val="24"/>
              </w:rPr>
              <w:t>召开投标预备会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1.11.1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分包</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不允许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构成招标文件的其他资料</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0" w:hRule="atLeast"/>
        </w:trPr>
        <w:tc>
          <w:tcPr>
            <w:tcW w:w="1118" w:type="dxa"/>
            <w:vMerge w:val="restart"/>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2.2.1</w:t>
            </w:r>
          </w:p>
        </w:tc>
        <w:tc>
          <w:tcPr>
            <w:tcW w:w="2969" w:type="dxa"/>
            <w:vMerge w:val="restart"/>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投标人要求澄清招标文件</w:t>
            </w:r>
          </w:p>
        </w:tc>
        <w:tc>
          <w:tcPr>
            <w:tcW w:w="5566" w:type="dxa"/>
            <w:tcBorders>
              <w:bottom w:val="single" w:color="auto" w:sz="4" w:space="0"/>
            </w:tcBorders>
            <w:vAlign w:val="center"/>
          </w:tcPr>
          <w:p>
            <w:pPr>
              <w:keepNext w:val="0"/>
              <w:keepLines w:val="0"/>
              <w:pageBreakBefore w:val="0"/>
              <w:widowControl/>
              <w:suppressLineNumbers w:val="0"/>
              <w:kinsoku/>
              <w:wordWrap/>
              <w:overflowPunct/>
              <w:topLinePunct w:val="0"/>
              <w:autoSpaceDE w:val="0"/>
              <w:autoSpaceDN w:val="0"/>
              <w:bidi w:val="0"/>
              <w:adjustRightInd/>
              <w:snapToGrid/>
              <w:jc w:val="left"/>
              <w:textAlignment w:val="auto"/>
              <w:rPr>
                <w:rFonts w:hint="eastAsia" w:ascii="宋体" w:hAnsi="宋体" w:eastAsia="宋体" w:cs="宋体"/>
                <w:color w:val="auto"/>
                <w:sz w:val="24"/>
                <w:szCs w:val="24"/>
              </w:rPr>
            </w:pPr>
            <w:r>
              <w:rPr>
                <w:rFonts w:hint="eastAsia" w:ascii="宋体" w:hAnsi="宋体" w:eastAsia="宋体" w:cs="宋体"/>
                <w:color w:val="000000"/>
                <w:kern w:val="0"/>
                <w:sz w:val="24"/>
                <w:szCs w:val="24"/>
                <w:lang w:val="en-US" w:eastAsia="zh-CN" w:bidi="ar"/>
              </w:rPr>
              <w:t>时间：在投标截止时间 15 天前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16" w:hRule="atLeast"/>
        </w:trPr>
        <w:tc>
          <w:tcPr>
            <w:tcW w:w="1118" w:type="dxa"/>
            <w:vMerge w:val="continue"/>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tc>
        <w:tc>
          <w:tcPr>
            <w:tcW w:w="2969" w:type="dxa"/>
            <w:vMerge w:val="continue"/>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tc>
        <w:tc>
          <w:tcPr>
            <w:tcW w:w="5566" w:type="dxa"/>
            <w:tcBorders>
              <w:top w:val="single" w:color="auto" w:sz="4" w:space="0"/>
            </w:tcBorders>
            <w:vAlign w:val="center"/>
          </w:tcPr>
          <w:p>
            <w:pPr>
              <w:keepNext w:val="0"/>
              <w:keepLines w:val="0"/>
              <w:pageBreakBefore w:val="0"/>
              <w:widowControl/>
              <w:suppressLineNumbers w:val="0"/>
              <w:kinsoku/>
              <w:wordWrap/>
              <w:overflowPunct/>
              <w:topLinePunct w:val="0"/>
              <w:autoSpaceDE w:val="0"/>
              <w:autoSpaceDN w:val="0"/>
              <w:bidi w:val="0"/>
              <w:adjustRightInd/>
              <w:snapToGrid/>
              <w:jc w:val="left"/>
              <w:textAlignment w:val="auto"/>
              <w:rPr>
                <w:rFonts w:hint="eastAsia" w:ascii="宋体" w:hAnsi="宋体" w:eastAsia="宋体" w:cs="宋体"/>
                <w:color w:val="auto"/>
                <w:sz w:val="24"/>
                <w:szCs w:val="24"/>
              </w:rPr>
            </w:pPr>
            <w:r>
              <w:rPr>
                <w:rFonts w:hint="eastAsia" w:ascii="宋体" w:hAnsi="宋体" w:eastAsia="宋体" w:cs="宋体"/>
                <w:color w:val="000000"/>
                <w:kern w:val="0"/>
                <w:sz w:val="24"/>
                <w:szCs w:val="24"/>
                <w:lang w:val="en-US" w:eastAsia="zh-CN" w:bidi="ar"/>
              </w:rPr>
              <w:t>形式：应当在投标截止时间 15 日前通过汕尾市公共资源交易平台建设工程网上交易系统在线网上一次性提出，逾期不再受理，按收到时间为准，具体系统投标操作指南详见汕尾市公共资源交易平台门户的服务指南&gt;办事指引&gt;建设工程交易系统用户手册。招标人应当自招标代理机构收到异议之日起 3 日内作出答复。本答疑及澄清通知为招标文件的重要组成部分，若招标文件与本答疑及澄清通知文件不一致的地方，以本答疑及澄清通知文件为准。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2.2.2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招标文件澄清发出的形式</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以书面形式在广东省招标投标监管网和汕尾市公共资源交易中心门户网站发布</w:t>
            </w:r>
            <w:r>
              <w:rPr>
                <w:rFonts w:hint="eastAsia" w:ascii="宋体" w:hAnsi="宋体" w:eastAsia="宋体" w:cs="宋体"/>
                <w:color w:val="auto"/>
                <w:sz w:val="24"/>
                <w:szCs w:val="24"/>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2.3.1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招标文件修改发出的形式</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以书面形式在广东省招标投标监管网和汕尾市公共资源交易中心门户网站发布</w:t>
            </w:r>
            <w:r>
              <w:rPr>
                <w:rFonts w:hint="eastAsia" w:ascii="宋体" w:hAnsi="宋体" w:eastAsia="宋体" w:cs="宋体"/>
                <w:color w:val="auto"/>
                <w:sz w:val="24"/>
                <w:szCs w:val="24"/>
                <w:lang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3.1.1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投标文件密封形式</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☑双信封□单信封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増值税税金的计算方法</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工程量清单的填写方式</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投标人按照招标人提供的工程量</w:t>
            </w:r>
            <w:r>
              <w:rPr>
                <w:rFonts w:hint="eastAsia" w:ascii="宋体" w:hAnsi="宋体" w:eastAsia="宋体" w:cs="宋体"/>
                <w:color w:val="auto"/>
                <w:sz w:val="24"/>
                <w:szCs w:val="24"/>
                <w:lang w:eastAsia="zh-CN"/>
              </w:rPr>
              <w:t>固化</w:t>
            </w:r>
            <w:r>
              <w:rPr>
                <w:rFonts w:hint="eastAsia" w:ascii="宋体" w:hAnsi="宋体" w:eastAsia="宋体" w:cs="宋体"/>
                <w:color w:val="auto"/>
                <w:sz w:val="24"/>
                <w:szCs w:val="24"/>
              </w:rPr>
              <w:t>清单填写工程量清单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报价方式</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单价</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总价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3.2.6</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是否接受调价函</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不接受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3.2.8</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最髙投标限价</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cs="宋体"/>
                <w:color w:val="000000" w:themeColor="text1"/>
                <w:sz w:val="24"/>
                <w:szCs w:val="24"/>
                <w:lang w:val="en-US" w:eastAsia="zh-CN"/>
                <w14:textFill>
                  <w14:solidFill>
                    <w14:schemeClr w14:val="tx1"/>
                  </w14:solidFill>
                </w14:textFill>
              </w:rPr>
              <w:t>4008986.00元</w:t>
            </w:r>
            <w:r>
              <w:rPr>
                <w:rFonts w:hint="eastAsia" w:ascii="宋体" w:hAnsi="宋体" w:eastAsia="宋体" w:cs="宋体"/>
                <w:color w:val="000000" w:themeColor="text1"/>
                <w:sz w:val="24"/>
                <w:szCs w:val="24"/>
                <w:lang w:eastAsia="zh-CN"/>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3.3.1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投标有效期</w:t>
            </w:r>
          </w:p>
        </w:tc>
        <w:tc>
          <w:tcPr>
            <w:tcW w:w="5566" w:type="dxa"/>
            <w:vAlign w:val="center"/>
          </w:tcPr>
          <w:p>
            <w:pPr>
              <w:pStyle w:val="32"/>
              <w:keepNext w:val="0"/>
              <w:keepLines w:val="0"/>
              <w:pageBreakBefore w:val="0"/>
              <w:tabs>
                <w:tab w:val="left" w:pos="3888"/>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自投标人提交投标文件截止之日起计算</w:t>
            </w:r>
            <w:r>
              <w:rPr>
                <w:rFonts w:hint="eastAsia" w:ascii="宋体" w:hAnsi="宋体" w:eastAsia="宋体" w:cs="宋体"/>
                <w:color w:val="auto"/>
                <w:sz w:val="24"/>
                <w:szCs w:val="24"/>
                <w:u w:val="single"/>
                <w:lang w:val="en-US"/>
              </w:rPr>
              <w:t>90</w:t>
            </w:r>
            <w:r>
              <w:rPr>
                <w:rFonts w:hint="eastAsia" w:ascii="宋体" w:hAnsi="宋体" w:eastAsia="宋体" w:cs="宋体"/>
                <w:color w:val="auto"/>
                <w:sz w:val="24"/>
                <w:szCs w:val="24"/>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3.4.1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FF0000"/>
                <w:sz w:val="24"/>
                <w:szCs w:val="24"/>
              </w:rPr>
            </w:pPr>
            <w:r>
              <w:rPr>
                <w:rFonts w:hint="eastAsia" w:ascii="宋体" w:hAnsi="宋体" w:eastAsia="宋体" w:cs="宋体"/>
                <w:color w:val="auto"/>
                <w:kern w:val="2"/>
                <w:sz w:val="24"/>
                <w:szCs w:val="24"/>
                <w:lang w:val="zh-CN" w:eastAsia="zh-CN" w:bidi="zh-CN"/>
              </w:rPr>
              <w:t>投标保证金</w:t>
            </w:r>
          </w:p>
        </w:tc>
        <w:tc>
          <w:tcPr>
            <w:tcW w:w="5566" w:type="dxa"/>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kern w:val="2"/>
                <w:sz w:val="24"/>
                <w:szCs w:val="24"/>
                <w:lang w:val="zh-CN" w:eastAsia="zh-CN" w:bidi="zh-CN"/>
              </w:rPr>
              <w:t>投标保证金的金额：</w:t>
            </w:r>
            <w:r>
              <w:rPr>
                <w:rFonts w:hint="eastAsia" w:cs="宋体"/>
                <w:color w:val="auto"/>
                <w:kern w:val="2"/>
                <w:sz w:val="24"/>
                <w:szCs w:val="24"/>
                <w:lang w:val="en-US" w:eastAsia="zh-CN" w:bidi="zh-CN"/>
              </w:rPr>
              <w:t>4</w:t>
            </w:r>
            <w:r>
              <w:rPr>
                <w:rFonts w:hint="eastAsia" w:ascii="宋体" w:hAnsi="宋体" w:eastAsia="宋体" w:cs="宋体"/>
                <w:color w:val="auto"/>
                <w:kern w:val="2"/>
                <w:sz w:val="24"/>
                <w:szCs w:val="24"/>
                <w:lang w:val="zh-CN" w:eastAsia="zh-CN" w:bidi="zh-CN"/>
              </w:rPr>
              <w:t>万元（</w:t>
            </w:r>
            <w:r>
              <w:rPr>
                <w:rFonts w:hint="eastAsia" w:cs="宋体"/>
                <w:color w:val="auto"/>
                <w:kern w:val="2"/>
                <w:sz w:val="24"/>
                <w:szCs w:val="24"/>
                <w:lang w:val="en-US" w:eastAsia="zh-CN" w:bidi="zh-CN"/>
              </w:rPr>
              <w:t>肆</w:t>
            </w:r>
            <w:r>
              <w:rPr>
                <w:rFonts w:hint="eastAsia" w:ascii="宋体" w:hAnsi="宋体" w:eastAsia="宋体" w:cs="宋体"/>
                <w:color w:val="auto"/>
                <w:kern w:val="2"/>
                <w:sz w:val="24"/>
                <w:szCs w:val="24"/>
                <w:lang w:val="en-US" w:eastAsia="zh-CN" w:bidi="zh-CN"/>
              </w:rPr>
              <w:t>万元整</w:t>
            </w:r>
            <w:r>
              <w:rPr>
                <w:rFonts w:hint="eastAsia" w:ascii="宋体" w:hAnsi="宋体" w:eastAsia="宋体" w:cs="宋体"/>
                <w:color w:val="auto"/>
                <w:kern w:val="2"/>
                <w:sz w:val="24"/>
                <w:szCs w:val="24"/>
                <w:lang w:val="zh-CN" w:eastAsia="zh-CN" w:bidi="zh-CN"/>
              </w:rPr>
              <w:t>）</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kern w:val="2"/>
                <w:sz w:val="24"/>
                <w:szCs w:val="24"/>
                <w:lang w:val="zh-CN" w:eastAsia="zh-CN" w:bidi="zh-CN"/>
              </w:rPr>
              <w:t>投标保证金形式：转账或银行保函或担保公司保函。</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kern w:val="2"/>
                <w:sz w:val="24"/>
                <w:szCs w:val="24"/>
                <w:lang w:val="zh-CN" w:eastAsia="zh-CN" w:bidi="zh-CN"/>
              </w:rPr>
              <w:t>开户名称：</w:t>
            </w:r>
            <w:r>
              <w:rPr>
                <w:rFonts w:hint="eastAsia" w:cs="宋体"/>
                <w:color w:val="auto"/>
                <w:kern w:val="2"/>
                <w:sz w:val="24"/>
                <w:szCs w:val="24"/>
                <w:lang w:val="en-US" w:eastAsia="zh-CN" w:bidi="zh-CN"/>
              </w:rPr>
              <w:t>陆丰市金厢镇人民政府</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kern w:val="2"/>
                <w:sz w:val="24"/>
                <w:szCs w:val="24"/>
                <w:lang w:val="zh-CN" w:eastAsia="zh-CN" w:bidi="zh-CN"/>
              </w:rPr>
              <w:t>开户银行：陆丰市农业银行碣石支行</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kern w:val="2"/>
                <w:sz w:val="24"/>
                <w:szCs w:val="24"/>
                <w:lang w:val="zh-CN" w:eastAsia="zh-CN" w:bidi="zh-CN"/>
              </w:rPr>
              <w:t>账号：</w:t>
            </w:r>
            <w:r>
              <w:rPr>
                <w:rFonts w:hint="eastAsia" w:ascii="宋体" w:hAnsi="宋体" w:eastAsia="宋体" w:cs="宋体"/>
                <w:color w:val="auto"/>
                <w:kern w:val="2"/>
                <w:sz w:val="24"/>
                <w:szCs w:val="24"/>
                <w:lang w:val="en-US" w:eastAsia="zh-CN" w:bidi="zh-CN"/>
              </w:rPr>
              <w:t>44260401040005097</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FF0000"/>
                <w:sz w:val="24"/>
                <w:szCs w:val="24"/>
              </w:rPr>
            </w:pPr>
            <w:r>
              <w:rPr>
                <w:rFonts w:hint="eastAsia" w:ascii="宋体" w:hAnsi="宋体" w:eastAsia="宋体" w:cs="宋体"/>
                <w:color w:val="auto"/>
                <w:kern w:val="2"/>
                <w:sz w:val="24"/>
                <w:szCs w:val="24"/>
                <w:lang w:val="zh-CN" w:eastAsia="zh-CN" w:bidi="zh-CN"/>
              </w:rPr>
              <w:t>采用转账方式：从投标人基本账户电汇或转账汇入招标人指定的帐户，投标保证金到达招标人指定账户时间为递交投标文件截止时间之前；采用银行保函或担保公司保函时，银行保函或担保公司保函或保证保险凭证复印件须作为投标文件的组成部分，在递交投标电子文件U盘时同时提供原件备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3.4.3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pacing w:val="7"/>
                <w:sz w:val="24"/>
                <w:szCs w:val="24"/>
              </w:rPr>
            </w:pPr>
            <w:r>
              <w:rPr>
                <w:rFonts w:hint="eastAsia" w:ascii="宋体" w:hAnsi="宋体" w:eastAsia="宋体" w:cs="宋体"/>
                <w:color w:val="auto"/>
                <w:spacing w:val="7"/>
                <w:sz w:val="24"/>
                <w:szCs w:val="24"/>
              </w:rPr>
              <w:t>投标保证金的利息</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spacing w:val="7"/>
                <w:sz w:val="24"/>
                <w:szCs w:val="24"/>
              </w:rPr>
              <w:t>计算原则</w:t>
            </w:r>
          </w:p>
        </w:tc>
        <w:tc>
          <w:tcPr>
            <w:tcW w:w="5566" w:type="dxa"/>
            <w:vAlign w:val="center"/>
          </w:tcPr>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⑴计算利息的起始日期为投标截止当日，终止日期为招标人退还投标保证金日期的前一日；</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⑵投标保证金的利息按照第（1)款所述计息时间段内招标人指定汇入银行公告的活期存款利率计付，并扣除招标人汇款手续费；</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sz w:val="24"/>
                <w:szCs w:val="24"/>
                <w:lang w:val="en-US" w:eastAsia="zh-CN"/>
              </w:rPr>
              <w:t>⑶利息金额计算至分位，分以下尾数四舍五入。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3.5.2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sz w:val="24"/>
                <w:szCs w:val="24"/>
              </w:rPr>
              <w:t>近年财务状况的年份要求</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sz w:val="24"/>
                <w:szCs w:val="24"/>
                <w:u w:val="single"/>
                <w:lang w:val="en-US"/>
              </w:rPr>
              <w:t>20</w:t>
            </w:r>
            <w:r>
              <w:rPr>
                <w:rFonts w:hint="eastAsia" w:ascii="宋体" w:hAnsi="宋体" w:eastAsia="宋体" w:cs="宋体"/>
                <w:color w:val="auto"/>
                <w:sz w:val="24"/>
                <w:szCs w:val="24"/>
                <w:u w:val="single"/>
                <w:lang w:val="en-US" w:eastAsia="zh-CN"/>
              </w:rPr>
              <w:t>2</w:t>
            </w:r>
            <w:r>
              <w:rPr>
                <w:rFonts w:hint="eastAsia" w:cs="宋体"/>
                <w:color w:val="auto"/>
                <w:sz w:val="24"/>
                <w:szCs w:val="24"/>
                <w:u w:val="single"/>
                <w:lang w:val="en-US" w:eastAsia="zh-CN"/>
              </w:rPr>
              <w:t>1</w:t>
            </w:r>
            <w:r>
              <w:rPr>
                <w:rFonts w:hint="eastAsia" w:ascii="宋体" w:hAnsi="宋体" w:eastAsia="宋体" w:cs="宋体"/>
                <w:color w:val="auto"/>
                <w:sz w:val="24"/>
                <w:szCs w:val="24"/>
                <w:lang w:val="en-US"/>
              </w:rPr>
              <w:t>年以来至</w:t>
            </w:r>
            <w:r>
              <w:rPr>
                <w:rFonts w:hint="eastAsia" w:ascii="宋体" w:hAnsi="宋体" w:eastAsia="宋体" w:cs="宋体"/>
                <w:color w:val="auto"/>
                <w:sz w:val="24"/>
                <w:szCs w:val="24"/>
                <w:u w:val="single"/>
                <w:lang w:val="en-US"/>
              </w:rPr>
              <w:t>202</w:t>
            </w:r>
            <w:r>
              <w:rPr>
                <w:rFonts w:hint="eastAsia" w:cs="宋体"/>
                <w:color w:val="auto"/>
                <w:sz w:val="24"/>
                <w:szCs w:val="24"/>
                <w:u w:val="single"/>
                <w:lang w:val="en-US" w:eastAsia="zh-CN"/>
              </w:rPr>
              <w:t>3</w:t>
            </w:r>
            <w:r>
              <w:rPr>
                <w:rFonts w:hint="eastAsia" w:ascii="宋体" w:hAnsi="宋体" w:eastAsia="宋体" w:cs="宋体"/>
                <w:color w:val="auto"/>
                <w:sz w:val="24"/>
                <w:szCs w:val="24"/>
                <w:lang w:val="en-US"/>
              </w:rPr>
              <w:t>年的财务状况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9"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3.5.3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近</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年完成的类似项目</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sz w:val="24"/>
                <w:szCs w:val="24"/>
                <w:highlight w:val="none"/>
              </w:rPr>
              <w:t>情况的时间要求</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spacing w:val="-9"/>
                <w:sz w:val="24"/>
                <w:szCs w:val="24"/>
                <w:highlight w:val="none"/>
                <w:u w:val="single"/>
                <w:lang w:val="en-US" w:eastAsia="zh-CN"/>
              </w:rPr>
              <w:t>201</w:t>
            </w:r>
            <w:r>
              <w:rPr>
                <w:rFonts w:hint="eastAsia" w:cs="宋体"/>
                <w:color w:val="auto"/>
                <w:spacing w:val="-9"/>
                <w:sz w:val="24"/>
                <w:szCs w:val="24"/>
                <w:highlight w:val="none"/>
                <w:u w:val="single"/>
                <w:lang w:val="en-US" w:eastAsia="zh-CN"/>
              </w:rPr>
              <w:t>9</w:t>
            </w:r>
            <w:r>
              <w:rPr>
                <w:rFonts w:hint="eastAsia" w:ascii="宋体" w:hAnsi="宋体" w:eastAsia="宋体" w:cs="宋体"/>
                <w:color w:val="auto"/>
                <w:spacing w:val="-9"/>
                <w:sz w:val="24"/>
                <w:szCs w:val="24"/>
                <w:highlight w:val="none"/>
                <w:u w:val="none"/>
              </w:rPr>
              <w:t>年</w:t>
            </w:r>
            <w:r>
              <w:rPr>
                <w:rFonts w:hint="eastAsia" w:ascii="宋体" w:hAnsi="宋体" w:eastAsia="宋体" w:cs="宋体"/>
                <w:color w:val="auto"/>
                <w:spacing w:val="-9"/>
                <w:sz w:val="24"/>
                <w:szCs w:val="24"/>
                <w:highlight w:val="none"/>
                <w:u w:val="single"/>
                <w:lang w:val="en-US" w:eastAsia="zh-CN"/>
              </w:rPr>
              <w:t>1</w:t>
            </w:r>
            <w:r>
              <w:rPr>
                <w:rFonts w:hint="eastAsia" w:ascii="宋体" w:hAnsi="宋体" w:eastAsia="宋体" w:cs="宋体"/>
                <w:color w:val="auto"/>
                <w:spacing w:val="-9"/>
                <w:sz w:val="24"/>
                <w:szCs w:val="24"/>
                <w:highlight w:val="none"/>
                <w:u w:val="none"/>
              </w:rPr>
              <w:t>月</w:t>
            </w:r>
            <w:r>
              <w:rPr>
                <w:rFonts w:hint="eastAsia" w:ascii="宋体" w:hAnsi="宋体" w:eastAsia="宋体" w:cs="宋体"/>
                <w:color w:val="auto"/>
                <w:spacing w:val="-9"/>
                <w:sz w:val="24"/>
                <w:szCs w:val="24"/>
                <w:highlight w:val="none"/>
                <w:u w:val="single"/>
              </w:rPr>
              <w:t>1</w:t>
            </w:r>
            <w:r>
              <w:rPr>
                <w:rFonts w:hint="eastAsia" w:ascii="宋体" w:hAnsi="宋体" w:eastAsia="宋体" w:cs="宋体"/>
                <w:color w:val="auto"/>
                <w:spacing w:val="-9"/>
                <w:sz w:val="24"/>
                <w:szCs w:val="24"/>
                <w:highlight w:val="none"/>
                <w:u w:val="none"/>
              </w:rPr>
              <w:t>日至投标截止时间止。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1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3.6.1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是否允许递交备选</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sz w:val="24"/>
                <w:szCs w:val="24"/>
              </w:rPr>
              <w:t>投标方案</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kern w:val="2"/>
                <w:sz w:val="24"/>
                <w:szCs w:val="24"/>
                <w:lang w:val="en-US" w:eastAsia="zh-CN" w:bidi="zh-CN"/>
              </w:rPr>
            </w:pPr>
            <w:r>
              <w:rPr>
                <w:rFonts w:hint="eastAsia" w:ascii="宋体" w:hAnsi="宋体" w:eastAsia="宋体" w:cs="宋体"/>
                <w:color w:val="auto"/>
                <w:sz w:val="24"/>
                <w:szCs w:val="24"/>
              </w:rPr>
              <w:t>☑不允许□允许</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1"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3.7.4</w:t>
            </w:r>
          </w:p>
        </w:tc>
        <w:tc>
          <w:tcPr>
            <w:tcW w:w="2969" w:type="dxa"/>
            <w:vAlign w:val="center"/>
          </w:tcPr>
          <w:p>
            <w:pPr>
              <w:pStyle w:val="32"/>
              <w:keepNext w:val="0"/>
              <w:keepLines w:val="0"/>
              <w:pageBreakBefore w:val="0"/>
              <w:tabs>
                <w:tab w:val="left" w:pos="407"/>
              </w:tabs>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投标文件份数</w:t>
            </w:r>
          </w:p>
          <w:p>
            <w:pPr>
              <w:pStyle w:val="32"/>
              <w:keepNext w:val="0"/>
              <w:keepLines w:val="0"/>
              <w:pageBreakBefore w:val="0"/>
              <w:tabs>
                <w:tab w:val="left" w:pos="407"/>
              </w:tabs>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kern w:val="2"/>
                <w:sz w:val="24"/>
                <w:szCs w:val="24"/>
                <w:lang w:val="zh-CN" w:eastAsia="zh-CN" w:bidi="zh-CN"/>
              </w:rPr>
            </w:pPr>
            <w:r>
              <w:rPr>
                <w:rFonts w:hint="eastAsia" w:ascii="宋体" w:hAnsi="宋体" w:eastAsia="宋体" w:cs="宋体"/>
                <w:color w:val="auto"/>
                <w:sz w:val="24"/>
                <w:szCs w:val="24"/>
              </w:rPr>
              <w:t>及其他要求</w:t>
            </w:r>
          </w:p>
        </w:tc>
        <w:tc>
          <w:tcPr>
            <w:tcW w:w="5566" w:type="dxa"/>
            <w:vAlign w:val="center"/>
          </w:tcPr>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投标人应按要求在投标截止时间前将制作完成的电子投标文件上传到汕尾市公共资源交易平台(无须提交纸质投标文件)。</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递交地点：汕尾市公共资源交易平台。</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1.投标人首先应通过汕尾市公共资源交易平台建设工程网上交易系统提交电子投标文件第一个信封、电子投标文件第二个信封。</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2.交易系统电子投标文件：由可编辑电子文档转换为PDF格式的投标文件，按要求签名或盖章后通过系统签章工</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具进行电子签章后上传交易系统，加盖签章时请注意不要遮挡关键信息，否则由此引起的投标损失由投标人自负。</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备注：招标文件提供的投标文件格式中规定要求签名的地方均须由投标人的法定代表人或其授权代理人签名，并加盖投标人电子签章。投标文件每页需加盖投标人电子签章。投标文件封面由法定代表人或其授权代理人及项目负责人签名扫描后再进行电子签章。</w:t>
            </w:r>
          </w:p>
          <w:p>
            <w:pPr>
              <w:pStyle w:val="32"/>
              <w:keepNext w:val="0"/>
              <w:keepLines w:val="0"/>
              <w:pageBreakBefore w:val="0"/>
              <w:numPr>
                <w:ilvl w:val="0"/>
                <w:numId w:val="2"/>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电子文件U盘（非加密的电子投标文件）2份：提供2个电子文件U盘（投标文件第一信封1份正本,1份副本为一个U盘；投标文件第二信封1份正本,1份副本为另一个U盘），U盘外包装做好标识“投标文件第一信封电子文件U盘（商务及技术文件）封套”或“投标文件第二信封电子文件U盘（报价文件）封套”；电子文件U盘内含非加密的电子投标文件，投标人应确保U盘的电子投标文件内容与在交易系统递交的电子投标文件内容一致，并U盘无损坏。若因递交的电子文件损坏而无法读取内容，后果由投标人自负。</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还需提供一份可用于网上公示的电子版（商务部分）投标文件1份储存于电子投标文件第一信封U盘（采用PDF格式,电子文件内容必须加盖投标人公章及签字,不留密码,无病毒,不压缩。请自行屏蔽个人身份证号码、出生年月、手机号码及家庭住址等涉及个人隐私有关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w:t>
            </w: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rPr>
              <w:t>1.2</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封套上应载明的信息</w:t>
            </w:r>
          </w:p>
        </w:tc>
        <w:tc>
          <w:tcPr>
            <w:tcW w:w="5566" w:type="dxa"/>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b/>
                <w:color w:val="auto"/>
                <w:sz w:val="24"/>
                <w:szCs w:val="24"/>
                <w:lang w:val="en-US" w:eastAsia="zh-CN" w:bidi="zh-CN"/>
              </w:rPr>
            </w:pPr>
            <w:r>
              <w:rPr>
                <w:rFonts w:hint="eastAsia" w:ascii="宋体" w:hAnsi="宋体" w:eastAsia="宋体" w:cs="宋体"/>
                <w:b/>
                <w:color w:val="auto"/>
                <w:sz w:val="24"/>
                <w:szCs w:val="24"/>
                <w:lang w:val="en-US" w:eastAsia="zh-CN" w:bidi="zh-CN"/>
              </w:rPr>
              <w:t>电子U盘投标文件和投标保证金原件分别密封，密封处加盖公章</w:t>
            </w:r>
          </w:p>
          <w:p>
            <w:pPr>
              <w:pStyle w:val="32"/>
              <w:keepNext w:val="0"/>
              <w:keepLines w:val="0"/>
              <w:pageBreakBefore w:val="0"/>
              <w:tabs>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b/>
                <w:color w:val="auto"/>
                <w:spacing w:val="-15"/>
                <w:sz w:val="24"/>
                <w:szCs w:val="24"/>
              </w:rPr>
            </w:pPr>
            <w:r>
              <w:rPr>
                <w:rFonts w:hint="eastAsia" w:ascii="宋体" w:hAnsi="宋体" w:eastAsia="宋体" w:cs="宋体"/>
                <w:b/>
                <w:color w:val="auto"/>
                <w:sz w:val="24"/>
                <w:szCs w:val="24"/>
                <w:lang w:val="en-US" w:eastAsia="zh-CN"/>
              </w:rPr>
              <w:t>投标文件第一信封电子文件U盘（商务及技术文件）封套</w:t>
            </w:r>
            <w:r>
              <w:rPr>
                <w:rFonts w:hint="eastAsia" w:ascii="宋体" w:hAnsi="宋体" w:eastAsia="宋体" w:cs="宋体"/>
                <w:b/>
                <w:color w:val="auto"/>
                <w:spacing w:val="-15"/>
                <w:sz w:val="24"/>
                <w:szCs w:val="24"/>
              </w:rPr>
              <w:t>：</w:t>
            </w:r>
          </w:p>
          <w:p>
            <w:pPr>
              <w:pStyle w:val="32"/>
              <w:keepNext w:val="0"/>
              <w:keepLines w:val="0"/>
              <w:pageBreakBefore w:val="0"/>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default" w:ascii="宋体" w:hAnsi="宋体" w:eastAsia="宋体" w:cs="宋体"/>
                <w:color w:val="auto"/>
                <w:sz w:val="24"/>
                <w:szCs w:val="24"/>
                <w:u w:val="single"/>
                <w:lang w:val="en-US" w:eastAsia="zh-CN"/>
              </w:rPr>
            </w:pPr>
            <w:r>
              <w:rPr>
                <w:rFonts w:hint="eastAsia" w:ascii="宋体" w:hAnsi="宋体" w:eastAsia="宋体" w:cs="宋体"/>
                <w:color w:val="auto"/>
                <w:spacing w:val="-1"/>
                <w:sz w:val="24"/>
                <w:szCs w:val="24"/>
              </w:rPr>
              <w:t>招标人名称</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pStyle w:val="32"/>
              <w:keepNext w:val="0"/>
              <w:keepLines w:val="0"/>
              <w:pageBreakBefore w:val="0"/>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default" w:ascii="宋体" w:hAnsi="宋体" w:eastAsia="宋体" w:cs="宋体"/>
                <w:color w:val="auto"/>
                <w:sz w:val="24"/>
                <w:szCs w:val="24"/>
                <w:u w:val="single"/>
                <w:lang w:val="en-US" w:eastAsia="zh-CN"/>
              </w:rPr>
            </w:pPr>
            <w:r>
              <w:rPr>
                <w:rFonts w:hint="eastAsia" w:ascii="宋体" w:hAnsi="宋体" w:eastAsia="宋体" w:cs="宋体"/>
                <w:color w:val="auto"/>
                <w:spacing w:val="-1"/>
                <w:sz w:val="24"/>
                <w:szCs w:val="24"/>
              </w:rPr>
              <w:t>招标人地址</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lang w:val="en-US" w:eastAsia="zh-CN" w:bidi="zh-CN"/>
              </w:rPr>
              <w:t>(项目名称)</w:t>
            </w:r>
            <w:r>
              <w:rPr>
                <w:rFonts w:hint="eastAsia" w:ascii="宋体" w:hAnsi="宋体" w:eastAsia="宋体" w:cs="宋体"/>
                <w:color w:val="auto"/>
                <w:sz w:val="24"/>
                <w:szCs w:val="24"/>
              </w:rPr>
              <w:t>第一个信封(商务及技术文件）投标文件</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在</w:t>
            </w:r>
            <w:r>
              <w:rPr>
                <w:rFonts w:hint="eastAsia" w:cs="宋体"/>
                <w:color w:val="auto"/>
                <w:sz w:val="24"/>
                <w:szCs w:val="24"/>
                <w:u w:val="single"/>
                <w:lang w:val="en-US" w:eastAsia="zh-CN"/>
              </w:rPr>
              <w:t xml:space="preserve">    </w:t>
            </w:r>
            <w:r>
              <w:rPr>
                <w:rFonts w:hint="eastAsia" w:ascii="宋体" w:hAnsi="宋体" w:eastAsia="宋体" w:cs="宋体"/>
                <w:color w:val="auto"/>
                <w:sz w:val="24"/>
                <w:szCs w:val="24"/>
              </w:rPr>
              <w:t>年</w:t>
            </w:r>
            <w:r>
              <w:rPr>
                <w:rFonts w:hint="eastAsia" w:cs="宋体"/>
                <w:color w:val="auto"/>
                <w:sz w:val="24"/>
                <w:szCs w:val="24"/>
                <w:u w:val="single"/>
                <w:lang w:val="en-US" w:eastAsia="zh-CN"/>
              </w:rPr>
              <w:t xml:space="preserve">   </w:t>
            </w:r>
            <w:r>
              <w:rPr>
                <w:rFonts w:hint="eastAsia" w:ascii="宋体" w:hAnsi="宋体" w:eastAsia="宋体" w:cs="宋体"/>
                <w:color w:val="auto"/>
                <w:sz w:val="24"/>
                <w:szCs w:val="24"/>
              </w:rPr>
              <w:t>月</w:t>
            </w:r>
            <w:r>
              <w:rPr>
                <w:rFonts w:hint="eastAsia" w:cs="宋体"/>
                <w:color w:val="auto"/>
                <w:sz w:val="24"/>
                <w:szCs w:val="24"/>
                <w:u w:val="single"/>
                <w:lang w:val="en-US" w:eastAsia="zh-CN"/>
              </w:rPr>
              <w:t xml:space="preserve">   </w:t>
            </w:r>
            <w:r>
              <w:rPr>
                <w:rFonts w:hint="eastAsia" w:ascii="宋体" w:hAnsi="宋体" w:eastAsia="宋体" w:cs="宋体"/>
                <w:color w:val="auto"/>
                <w:sz w:val="24"/>
                <w:szCs w:val="24"/>
              </w:rPr>
              <w:t>日</w:t>
            </w:r>
            <w:r>
              <w:rPr>
                <w:rFonts w:hint="eastAsia" w:cs="宋体"/>
                <w:color w:val="auto"/>
                <w:sz w:val="24"/>
                <w:szCs w:val="24"/>
                <w:u w:val="single"/>
                <w:lang w:val="en-US" w:eastAsia="zh-CN"/>
              </w:rPr>
              <w:t xml:space="preserve">   </w:t>
            </w:r>
            <w:r>
              <w:rPr>
                <w:rFonts w:hint="eastAsia" w:ascii="宋体" w:hAnsi="宋体" w:eastAsia="宋体" w:cs="宋体"/>
                <w:color w:val="auto"/>
                <w:sz w:val="24"/>
                <w:szCs w:val="24"/>
              </w:rPr>
              <w:t>时</w:t>
            </w:r>
            <w:r>
              <w:rPr>
                <w:rFonts w:hint="eastAsia" w:cs="宋体"/>
                <w:color w:val="auto"/>
                <w:sz w:val="24"/>
                <w:szCs w:val="24"/>
                <w:u w:val="single"/>
                <w:lang w:val="en-US" w:eastAsia="zh-CN"/>
              </w:rPr>
              <w:t xml:space="preserve">   </w:t>
            </w:r>
            <w:r>
              <w:rPr>
                <w:rFonts w:hint="eastAsia" w:ascii="宋体" w:hAnsi="宋体" w:eastAsia="宋体" w:cs="宋体"/>
                <w:color w:val="auto"/>
                <w:sz w:val="24"/>
                <w:szCs w:val="24"/>
              </w:rPr>
              <w:t>分前不得开</w:t>
            </w:r>
            <w:r>
              <w:rPr>
                <w:rFonts w:hint="eastAsia" w:ascii="宋体" w:hAnsi="宋体" w:eastAsia="宋体" w:cs="宋体"/>
                <w:color w:val="auto"/>
                <w:spacing w:val="-16"/>
                <w:sz w:val="24"/>
                <w:szCs w:val="24"/>
              </w:rPr>
              <w:t>启</w:t>
            </w:r>
          </w:p>
          <w:p>
            <w:pPr>
              <w:pStyle w:val="32"/>
              <w:keepNext w:val="0"/>
              <w:keepLines w:val="0"/>
              <w:pageBreakBefore w:val="0"/>
              <w:tabs>
                <w:tab w:val="left" w:pos="527"/>
                <w:tab w:val="left" w:pos="1052"/>
                <w:tab w:val="left" w:pos="1578"/>
                <w:tab w:val="left" w:pos="2102"/>
                <w:tab w:val="left" w:pos="2628"/>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投标人名称</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pStyle w:val="32"/>
              <w:keepNext w:val="0"/>
              <w:keepLines w:val="0"/>
              <w:pageBreakBefore w:val="0"/>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b/>
                <w:color w:val="auto"/>
                <w:spacing w:val="-13"/>
                <w:sz w:val="24"/>
                <w:szCs w:val="24"/>
              </w:rPr>
            </w:pPr>
            <w:r>
              <w:rPr>
                <w:rFonts w:hint="eastAsia" w:ascii="宋体" w:hAnsi="宋体" w:eastAsia="宋体" w:cs="宋体"/>
                <w:b/>
                <w:color w:val="auto"/>
                <w:sz w:val="24"/>
                <w:szCs w:val="24"/>
              </w:rPr>
              <w:t>投</w:t>
            </w:r>
            <w:r>
              <w:rPr>
                <w:rFonts w:hint="eastAsia" w:ascii="宋体" w:hAnsi="宋体" w:eastAsia="宋体" w:cs="宋体"/>
                <w:b/>
                <w:color w:val="auto"/>
                <w:spacing w:val="-13"/>
                <w:sz w:val="24"/>
                <w:szCs w:val="24"/>
                <w:lang w:val="en-US" w:eastAsia="zh-CN"/>
              </w:rPr>
              <w:t>标文件第二信封电子文件U盘（报价文件）封套：</w:t>
            </w:r>
          </w:p>
          <w:p>
            <w:pPr>
              <w:pStyle w:val="32"/>
              <w:keepNext w:val="0"/>
              <w:keepLines w:val="0"/>
              <w:pageBreakBefore w:val="0"/>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u w:val="single"/>
                <w:lang w:val="en-US"/>
              </w:rPr>
            </w:pPr>
            <w:r>
              <w:rPr>
                <w:rFonts w:hint="eastAsia" w:ascii="宋体" w:hAnsi="宋体" w:eastAsia="宋体" w:cs="宋体"/>
                <w:color w:val="auto"/>
                <w:spacing w:val="-1"/>
                <w:sz w:val="24"/>
                <w:szCs w:val="24"/>
              </w:rPr>
              <w:t>招标人名称</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pStyle w:val="32"/>
              <w:keepNext w:val="0"/>
              <w:keepLines w:val="0"/>
              <w:pageBreakBefore w:val="0"/>
              <w:tabs>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u w:val="single"/>
                <w:lang w:val="en-US"/>
              </w:rPr>
            </w:pPr>
            <w:r>
              <w:rPr>
                <w:rFonts w:hint="eastAsia" w:ascii="宋体" w:hAnsi="宋体" w:eastAsia="宋体" w:cs="宋体"/>
                <w:color w:val="auto"/>
                <w:spacing w:val="-1"/>
                <w:sz w:val="24"/>
                <w:szCs w:val="24"/>
              </w:rPr>
              <w:t>招标人地址</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lang w:val="en-US" w:eastAsia="zh-CN" w:bidi="zh-CN"/>
              </w:rPr>
              <w:t>(项目名称)</w:t>
            </w:r>
            <w:r>
              <w:rPr>
                <w:rFonts w:hint="eastAsia" w:ascii="宋体" w:hAnsi="宋体" w:eastAsia="宋体" w:cs="宋体"/>
                <w:color w:val="auto"/>
                <w:sz w:val="24"/>
                <w:szCs w:val="24"/>
              </w:rPr>
              <w:t>施工招标第二个信封(报价文件）投标文件</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在投标文件第</w:t>
            </w:r>
            <w:r>
              <w:rPr>
                <w:rFonts w:hint="eastAsia" w:ascii="宋体" w:hAnsi="宋体" w:eastAsia="宋体" w:cs="宋体"/>
                <w:color w:val="auto"/>
                <w:sz w:val="24"/>
                <w:szCs w:val="24"/>
              </w:rPr>
              <w:t>二个信封（报价文件</w:t>
            </w:r>
            <w:r>
              <w:rPr>
                <w:rFonts w:hint="eastAsia" w:cs="宋体"/>
                <w:color w:val="auto"/>
                <w:sz w:val="24"/>
                <w:szCs w:val="24"/>
                <w:lang w:eastAsia="zh-CN"/>
              </w:rPr>
              <w:t>）</w:t>
            </w:r>
            <w:r>
              <w:rPr>
                <w:rFonts w:hint="eastAsia" w:ascii="宋体" w:hAnsi="宋体" w:eastAsia="宋体" w:cs="宋体"/>
                <w:color w:val="auto"/>
                <w:sz w:val="24"/>
                <w:szCs w:val="24"/>
              </w:rPr>
              <w:t>开标前不得开启</w:t>
            </w:r>
          </w:p>
          <w:p>
            <w:pPr>
              <w:pStyle w:val="32"/>
              <w:keepNext w:val="0"/>
              <w:keepLines w:val="0"/>
              <w:pageBreakBefore w:val="0"/>
              <w:tabs>
                <w:tab w:val="left" w:pos="527"/>
                <w:tab w:val="left" w:pos="1052"/>
                <w:tab w:val="left" w:pos="1578"/>
                <w:tab w:val="left" w:pos="2102"/>
                <w:tab w:val="left" w:pos="2628"/>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投标人名称</w:t>
            </w:r>
            <w:r>
              <w:rPr>
                <w:rFonts w:hint="eastAsia" w:ascii="宋体" w:hAnsi="宋体" w:eastAsia="宋体" w:cs="宋体"/>
                <w:color w:val="auto"/>
                <w:sz w:val="24"/>
                <w:szCs w:val="24"/>
              </w:rPr>
              <w:t>：</w:t>
            </w:r>
            <w:r>
              <w:rPr>
                <w:rFonts w:hint="eastAsia" w:cs="宋体"/>
                <w:color w:val="auto"/>
                <w:sz w:val="24"/>
                <w:szCs w:val="24"/>
                <w:u w:val="single"/>
                <w:lang w:val="en-US" w:eastAsia="zh-CN"/>
              </w:rPr>
              <w:t xml:space="preserve">             </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b/>
                <w:bCs/>
                <w:color w:val="auto"/>
                <w:spacing w:val="-1"/>
                <w:sz w:val="24"/>
                <w:szCs w:val="24"/>
                <w:lang w:val="zh-CN" w:eastAsia="zh-CN" w:bidi="zh-CN"/>
              </w:rPr>
            </w:pPr>
            <w:r>
              <w:rPr>
                <w:rFonts w:hint="eastAsia" w:ascii="宋体" w:hAnsi="宋体" w:eastAsia="宋体" w:cs="宋体"/>
                <w:b/>
                <w:bCs/>
                <w:color w:val="auto"/>
                <w:spacing w:val="-1"/>
                <w:sz w:val="24"/>
                <w:szCs w:val="24"/>
                <w:lang w:val="en-US" w:eastAsia="zh-CN" w:bidi="zh-CN"/>
              </w:rPr>
              <w:t>银行保函(或其他形式投标保证金凭证)封套(如有)：</w:t>
            </w:r>
          </w:p>
          <w:p>
            <w:pPr>
              <w:pStyle w:val="32"/>
              <w:keepNext w:val="0"/>
              <w:keepLines w:val="0"/>
              <w:pageBreakBefore w:val="0"/>
              <w:tabs>
                <w:tab w:val="left" w:pos="527"/>
                <w:tab w:val="left" w:pos="1052"/>
                <w:tab w:val="left" w:pos="1578"/>
                <w:tab w:val="left" w:pos="2102"/>
                <w:tab w:val="left" w:pos="2628"/>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lang w:val="en-US" w:eastAsia="zh-CN" w:bidi="zh-CN"/>
              </w:rPr>
              <w:t>招标人名称：</w:t>
            </w:r>
            <w:r>
              <w:rPr>
                <w:rFonts w:hint="eastAsia" w:cs="宋体"/>
                <w:color w:val="auto"/>
                <w:sz w:val="24"/>
                <w:szCs w:val="24"/>
                <w:u w:val="single"/>
                <w:lang w:val="en-US" w:eastAsia="zh-CN"/>
              </w:rPr>
              <w:t xml:space="preserve">             </w:t>
            </w:r>
          </w:p>
          <w:p>
            <w:pPr>
              <w:pStyle w:val="32"/>
              <w:keepNext w:val="0"/>
              <w:keepLines w:val="0"/>
              <w:pageBreakBefore w:val="0"/>
              <w:tabs>
                <w:tab w:val="left" w:pos="527"/>
                <w:tab w:val="left" w:pos="1052"/>
                <w:tab w:val="left" w:pos="1578"/>
                <w:tab w:val="left" w:pos="2102"/>
                <w:tab w:val="left" w:pos="2628"/>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lang w:val="en-US" w:eastAsia="zh-CN" w:bidi="zh-CN"/>
              </w:rPr>
              <w:t>招标人地址：</w:t>
            </w:r>
            <w:r>
              <w:rPr>
                <w:rFonts w:hint="eastAsia" w:cs="宋体"/>
                <w:color w:val="auto"/>
                <w:sz w:val="24"/>
                <w:szCs w:val="24"/>
                <w:u w:val="single"/>
                <w:lang w:val="en-US" w:eastAsia="zh-CN"/>
              </w:rPr>
              <w:t xml:space="preserve">             </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zh-CN" w:eastAsia="zh-CN" w:bidi="zh-CN"/>
              </w:rPr>
            </w:pPr>
            <w:r>
              <w:rPr>
                <w:rFonts w:hint="eastAsia" w:ascii="宋体" w:hAnsi="宋体" w:eastAsia="宋体" w:cs="宋体"/>
                <w:color w:val="auto"/>
                <w:spacing w:val="-1"/>
                <w:sz w:val="24"/>
                <w:szCs w:val="24"/>
                <w:lang w:val="en-US" w:eastAsia="zh-CN" w:bidi="zh-CN"/>
              </w:rPr>
              <w:t>(项目名称)施工招标投标保证金(银行保函或其他形式投标保证金凭证)</w:t>
            </w:r>
          </w:p>
          <w:p>
            <w:pPr>
              <w:pStyle w:val="32"/>
              <w:keepNext w:val="0"/>
              <w:keepLines w:val="0"/>
              <w:pageBreakBefore w:val="0"/>
              <w:tabs>
                <w:tab w:val="left" w:pos="527"/>
                <w:tab w:val="left" w:pos="1052"/>
                <w:tab w:val="left" w:pos="1578"/>
                <w:tab w:val="left" w:pos="2102"/>
                <w:tab w:val="left" w:pos="2628"/>
                <w:tab w:val="left" w:pos="3257"/>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pacing w:val="-1"/>
                <w:sz w:val="24"/>
                <w:szCs w:val="24"/>
                <w:lang w:val="en-US" w:eastAsia="zh-CN" w:bidi="zh-CN"/>
              </w:rPr>
              <w:t>投标人名称：</w:t>
            </w:r>
            <w:r>
              <w:rPr>
                <w:rFonts w:hint="eastAsia" w:cs="宋体"/>
                <w:color w:val="auto"/>
                <w:sz w:val="24"/>
                <w:szCs w:val="24"/>
                <w:u w:val="single"/>
                <w:lang w:val="en-US" w:eastAsia="zh-CN"/>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4.2.3</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是否退还投标文件</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☑否</w:t>
            </w:r>
          </w:p>
          <w:p>
            <w:pPr>
              <w:pStyle w:val="32"/>
              <w:keepNext w:val="0"/>
              <w:keepLines w:val="0"/>
              <w:pageBreakBefore w:val="0"/>
              <w:tabs>
                <w:tab w:val="left" w:pos="419"/>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z w:val="24"/>
                <w:szCs w:val="24"/>
              </w:rPr>
              <w:t>□是，退还时间：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highlight w:val="none"/>
              </w:rPr>
              <w:t>开标时间和地点</w:t>
            </w:r>
          </w:p>
        </w:tc>
        <w:tc>
          <w:tcPr>
            <w:tcW w:w="5566" w:type="dxa"/>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lang w:val="en-US" w:eastAsia="zh-CN"/>
              </w:rPr>
              <w:t>开标时间为2024年</w:t>
            </w:r>
            <w:r>
              <w:rPr>
                <w:rFonts w:hint="eastAsia" w:cs="宋体"/>
                <w:color w:val="auto"/>
                <w:spacing w:val="-1"/>
                <w:sz w:val="24"/>
                <w:szCs w:val="24"/>
                <w:lang w:val="en-US" w:eastAsia="zh-CN"/>
              </w:rPr>
              <w:t>07</w:t>
            </w:r>
            <w:r>
              <w:rPr>
                <w:rFonts w:hint="eastAsia" w:ascii="宋体" w:hAnsi="宋体" w:eastAsia="宋体" w:cs="宋体"/>
                <w:color w:val="auto"/>
                <w:spacing w:val="-1"/>
                <w:sz w:val="24"/>
                <w:szCs w:val="24"/>
                <w:lang w:val="en-US" w:eastAsia="zh-CN"/>
              </w:rPr>
              <w:t>月</w:t>
            </w:r>
            <w:r>
              <w:rPr>
                <w:rFonts w:hint="eastAsia" w:cs="宋体"/>
                <w:color w:val="auto"/>
                <w:spacing w:val="-1"/>
                <w:sz w:val="24"/>
                <w:szCs w:val="24"/>
                <w:lang w:val="en-US" w:eastAsia="zh-CN"/>
              </w:rPr>
              <w:t xml:space="preserve">  </w:t>
            </w:r>
            <w:r>
              <w:rPr>
                <w:rFonts w:hint="eastAsia" w:ascii="宋体" w:hAnsi="宋体" w:eastAsia="宋体" w:cs="宋体"/>
                <w:color w:val="auto"/>
                <w:spacing w:val="-1"/>
                <w:sz w:val="24"/>
                <w:szCs w:val="24"/>
                <w:lang w:val="en-US" w:eastAsia="zh-CN"/>
              </w:rPr>
              <w:t>日10时00分，开标地点:汕尾市公共资源交易中心陆丰分中心（地址：陆丰市东海经济开发区龙湖路邻里中心三楼）开标室。</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2"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5.2.1</w:t>
            </w:r>
          </w:p>
        </w:tc>
        <w:tc>
          <w:tcPr>
            <w:tcW w:w="2969" w:type="dxa"/>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lang w:val="zh-CN" w:eastAsia="zh-CN" w:bidi="zh-CN"/>
              </w:rPr>
            </w:pPr>
            <w:r>
              <w:rPr>
                <w:rFonts w:hint="eastAsia" w:ascii="宋体" w:hAnsi="宋体" w:eastAsia="宋体" w:cs="宋体"/>
                <w:color w:val="auto"/>
                <w:sz w:val="24"/>
                <w:szCs w:val="24"/>
                <w:highlight w:val="none"/>
                <w:lang w:val="zh-CN" w:eastAsia="zh-CN" w:bidi="zh-CN"/>
              </w:rPr>
              <w:t>第一个信封(商务及</w:t>
            </w:r>
          </w:p>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highlight w:val="none"/>
                <w:lang w:val="zh-CN" w:eastAsia="zh-CN" w:bidi="zh-CN"/>
              </w:rPr>
              <w:t>技术文件）开标程序</w:t>
            </w:r>
          </w:p>
        </w:tc>
        <w:tc>
          <w:tcPr>
            <w:tcW w:w="5566" w:type="dxa"/>
            <w:vAlign w:val="center"/>
          </w:tcPr>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(1)公布在投标截止时间前递交投标文件的投标人数量；</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(2)密封情况检查：</w:t>
            </w:r>
            <w:r>
              <w:rPr>
                <w:rFonts w:hint="eastAsia" w:ascii="宋体" w:hAnsi="宋体" w:eastAsia="宋体" w:cs="宋体"/>
                <w:color w:val="auto"/>
                <w:spacing w:val="-1"/>
                <w:sz w:val="24"/>
                <w:szCs w:val="24"/>
                <w:lang w:val="zh-CN" w:eastAsia="zh-CN"/>
              </w:rPr>
              <w:t>检查报价文件是否存在提前开启情</w:t>
            </w:r>
            <w:r>
              <w:rPr>
                <w:rFonts w:hint="eastAsia" w:ascii="宋体" w:hAnsi="宋体" w:eastAsia="宋体" w:cs="宋体"/>
                <w:color w:val="auto"/>
                <w:spacing w:val="-1"/>
                <w:sz w:val="24"/>
                <w:szCs w:val="24"/>
              </w:rPr>
              <w:t>；</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(3)开标顺序：随机启封、逐一公布；</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(4)宣布开标人、唱标人、记录人等有关人员姓名；</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(5)当众开标，公布标段名称、投标人名称、投标投标保证金的递交情况、工期及其他内容，并记录在案；</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(6)投标人代表、招标人代表、记录人等有关人员在开标记录上签字确认；</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(7)开标结束。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5.2.3</w:t>
            </w:r>
          </w:p>
        </w:tc>
        <w:tc>
          <w:tcPr>
            <w:tcW w:w="2969" w:type="dxa"/>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lang w:val="zh-CN" w:eastAsia="zh-CN" w:bidi="zh-CN"/>
              </w:rPr>
            </w:pPr>
            <w:r>
              <w:rPr>
                <w:rFonts w:hint="eastAsia" w:ascii="宋体" w:hAnsi="宋体" w:eastAsia="宋体" w:cs="宋体"/>
                <w:color w:val="auto"/>
                <w:sz w:val="24"/>
                <w:szCs w:val="24"/>
                <w:highlight w:val="none"/>
                <w:lang w:val="zh-CN" w:eastAsia="zh-CN" w:bidi="zh-CN"/>
              </w:rPr>
              <w:t>第二个信封（报价</w:t>
            </w:r>
          </w:p>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highlight w:val="none"/>
                <w:lang w:val="zh-CN" w:eastAsia="zh-CN" w:bidi="zh-CN"/>
              </w:rPr>
              <w:t>文件）开标程序</w:t>
            </w:r>
          </w:p>
        </w:tc>
        <w:tc>
          <w:tcPr>
            <w:tcW w:w="5566" w:type="dxa"/>
            <w:vAlign w:val="center"/>
          </w:tcPr>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(1)密封情况检查：</w:t>
            </w:r>
            <w:r>
              <w:rPr>
                <w:rFonts w:hint="eastAsia" w:ascii="宋体" w:hAnsi="宋体" w:eastAsia="宋体" w:cs="宋体"/>
                <w:color w:val="auto"/>
                <w:spacing w:val="-1"/>
                <w:sz w:val="24"/>
                <w:szCs w:val="24"/>
                <w:lang w:val="zh-CN" w:eastAsia="zh-CN"/>
              </w:rPr>
              <w:t>检查报价文件是否存在提前开启情</w:t>
            </w:r>
            <w:r>
              <w:rPr>
                <w:rFonts w:hint="eastAsia" w:ascii="宋体" w:hAnsi="宋体" w:eastAsia="宋体" w:cs="宋体"/>
                <w:color w:val="auto"/>
                <w:spacing w:val="-1"/>
                <w:sz w:val="24"/>
                <w:szCs w:val="24"/>
              </w:rPr>
              <w:t>；</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(2)开标顺序：随机启封、逐一公布；</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(3)宣布开标人、唱标人、记录人等有关人员姓名；</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(4)当众拆开投标文件第一个信封(商务及技术文件)评审结果的密封袋，宣布通过第一个信封(商务及技术文件)评审的投标人名单；</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(5)当众开标，开标人只拆封通过投标文件第一个信封（商务及技术文件）评审的投标文件第二个信封（报价文件），公布标段名称、投标人名称、投标报价及其他内容，并记录在案；</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pacing w:val="-1"/>
                <w:sz w:val="24"/>
                <w:szCs w:val="24"/>
              </w:rPr>
              <w:t>(6)开标结束。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6.1.1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highlight w:val="none"/>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highlight w:val="none"/>
              </w:rPr>
              <w:t>评标委员会的组建</w:t>
            </w:r>
          </w:p>
        </w:tc>
        <w:tc>
          <w:tcPr>
            <w:tcW w:w="5566" w:type="dxa"/>
            <w:vAlign w:val="center"/>
          </w:tcPr>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spacing w:val="-1"/>
                <w:sz w:val="24"/>
                <w:szCs w:val="24"/>
              </w:rPr>
            </w:pPr>
            <w:r>
              <w:rPr>
                <w:rFonts w:hint="eastAsia" w:ascii="宋体" w:hAnsi="宋体" w:eastAsia="宋体" w:cs="宋体"/>
                <w:spacing w:val="-1"/>
                <w:sz w:val="24"/>
                <w:szCs w:val="24"/>
              </w:rPr>
              <w:t>评标委员会构成：</w:t>
            </w:r>
            <w:r>
              <w:rPr>
                <w:rFonts w:hint="eastAsia" w:cs="宋体"/>
                <w:spacing w:val="-1"/>
                <w:sz w:val="24"/>
                <w:szCs w:val="24"/>
                <w:u w:val="single"/>
                <w:lang w:val="en-US" w:eastAsia="zh-CN"/>
              </w:rPr>
              <w:t>7</w:t>
            </w:r>
            <w:r>
              <w:rPr>
                <w:rFonts w:hint="eastAsia" w:ascii="宋体" w:hAnsi="宋体" w:eastAsia="宋体" w:cs="宋体"/>
                <w:spacing w:val="-1"/>
                <w:sz w:val="24"/>
                <w:szCs w:val="24"/>
                <w:u w:val="single"/>
              </w:rPr>
              <w:t>人</w:t>
            </w:r>
            <w:r>
              <w:rPr>
                <w:rFonts w:hint="eastAsia" w:ascii="宋体" w:hAnsi="宋体" w:eastAsia="宋体" w:cs="宋体"/>
                <w:spacing w:val="-1"/>
                <w:sz w:val="24"/>
                <w:szCs w:val="24"/>
              </w:rPr>
              <w:t>，其中招标人代表</w:t>
            </w:r>
            <w:r>
              <w:rPr>
                <w:rFonts w:hint="eastAsia" w:ascii="宋体" w:hAnsi="宋体" w:eastAsia="宋体" w:cs="宋体"/>
                <w:spacing w:val="-1"/>
                <w:sz w:val="24"/>
                <w:szCs w:val="24"/>
                <w:u w:val="single"/>
              </w:rPr>
              <w:t>0</w:t>
            </w:r>
            <w:r>
              <w:rPr>
                <w:rFonts w:hint="eastAsia" w:ascii="宋体" w:hAnsi="宋体" w:eastAsia="宋体" w:cs="宋体"/>
                <w:spacing w:val="-1"/>
                <w:sz w:val="24"/>
                <w:szCs w:val="24"/>
              </w:rPr>
              <w:t>人，专家</w:t>
            </w:r>
            <w:r>
              <w:rPr>
                <w:rFonts w:hint="eastAsia" w:cs="宋体"/>
                <w:spacing w:val="-1"/>
                <w:sz w:val="24"/>
                <w:szCs w:val="24"/>
                <w:u w:val="single"/>
                <w:lang w:val="en-US" w:eastAsia="zh-CN"/>
              </w:rPr>
              <w:t>7</w:t>
            </w:r>
            <w:r>
              <w:rPr>
                <w:rFonts w:hint="eastAsia" w:ascii="宋体" w:hAnsi="宋体" w:eastAsia="宋体" w:cs="宋体"/>
                <w:spacing w:val="-1"/>
                <w:sz w:val="24"/>
                <w:szCs w:val="24"/>
                <w:u w:val="single"/>
              </w:rPr>
              <w:t>人</w:t>
            </w:r>
            <w:r>
              <w:rPr>
                <w:rFonts w:hint="eastAsia" w:ascii="宋体" w:hAnsi="宋体" w:eastAsia="宋体" w:cs="宋体"/>
                <w:spacing w:val="-1"/>
                <w:sz w:val="24"/>
                <w:szCs w:val="24"/>
              </w:rPr>
              <w:t>评标专家确定方式：从广东省综合评标专家库中随机抽取，</w:t>
            </w:r>
            <w:r>
              <w:rPr>
                <w:rFonts w:hint="eastAsia" w:cs="宋体"/>
                <w:spacing w:val="-1"/>
                <w:sz w:val="24"/>
                <w:szCs w:val="24"/>
                <w:lang w:val="en-US" w:eastAsia="zh-CN"/>
              </w:rPr>
              <w:t>专业为公路工程相关专业</w:t>
            </w:r>
            <w:r>
              <w:rPr>
                <w:rFonts w:hint="eastAsia" w:ascii="宋体" w:hAnsi="宋体" w:eastAsia="宋体" w:cs="宋体"/>
                <w:spacing w:val="-1"/>
                <w:sz w:val="24"/>
                <w:szCs w:val="24"/>
              </w:rPr>
              <w:t>。</w:t>
            </w:r>
          </w:p>
          <w:p>
            <w:pPr>
              <w:pStyle w:val="32"/>
              <w:keepNext w:val="0"/>
              <w:keepLines w:val="0"/>
              <w:pageBreakBefore w:val="0"/>
              <w:numPr>
                <w:ilvl w:val="0"/>
                <w:numId w:val="0"/>
              </w:numPr>
              <w:tabs>
                <w:tab w:val="left" w:pos="3257"/>
                <w:tab w:val="left" w:pos="3960"/>
                <w:tab w:val="left" w:pos="5500"/>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spacing w:val="-1"/>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6.3.2</w:t>
            </w:r>
          </w:p>
        </w:tc>
        <w:tc>
          <w:tcPr>
            <w:tcW w:w="2969" w:type="dxa"/>
            <w:vAlign w:val="center"/>
          </w:tcPr>
          <w:p>
            <w:pPr>
              <w:pStyle w:val="13"/>
              <w:keepNext w:val="0"/>
              <w:keepLines w:val="0"/>
              <w:pageBreakBefore w:val="0"/>
              <w:tabs>
                <w:tab w:val="left" w:pos="1681"/>
              </w:tabs>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bidi="zh-CN"/>
              </w:rPr>
            </w:pPr>
            <w:r>
              <w:rPr>
                <w:rFonts w:hint="eastAsia" w:ascii="宋体" w:hAnsi="宋体" w:eastAsia="宋体" w:cs="宋体"/>
                <w:color w:val="auto"/>
                <w:sz w:val="24"/>
                <w:szCs w:val="24"/>
                <w:lang w:val="zh-CN" w:eastAsia="zh-CN" w:bidi="zh-CN"/>
              </w:rPr>
              <w:t>评标委员会推荐中标候选人的</w:t>
            </w:r>
            <w:r>
              <w:rPr>
                <w:rFonts w:hint="eastAsia" w:ascii="宋体" w:hAnsi="宋体" w:eastAsia="宋体" w:cs="宋体"/>
                <w:color w:val="auto"/>
                <w:sz w:val="24"/>
                <w:szCs w:val="24"/>
                <w:lang w:val="en-US" w:eastAsia="zh-CN" w:bidi="zh-CN"/>
              </w:rPr>
              <w:t>人数</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tc>
        <w:tc>
          <w:tcPr>
            <w:tcW w:w="5566" w:type="dxa"/>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z w:val="24"/>
                <w:szCs w:val="24"/>
                <w:lang w:val="en-US" w:eastAsia="zh-CN" w:bidi="zh-CN"/>
              </w:rPr>
              <w:t>推荐的中标候选人的人数为前</w:t>
            </w:r>
            <w:r>
              <w:rPr>
                <w:rFonts w:hint="eastAsia" w:ascii="宋体" w:hAnsi="宋体" w:eastAsia="宋体" w:cs="宋体"/>
                <w:color w:val="auto"/>
                <w:sz w:val="24"/>
                <w:szCs w:val="24"/>
                <w:lang w:val="zh-CN" w:eastAsia="zh-CN" w:bidi="zh-CN"/>
              </w:rPr>
              <w:t>3名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7</w:t>
            </w:r>
            <w:r>
              <w:rPr>
                <w:rFonts w:hint="eastAsia" w:ascii="宋体" w:hAnsi="宋体" w:eastAsia="宋体" w:cs="宋体"/>
                <w:color w:val="auto"/>
                <w:sz w:val="24"/>
                <w:szCs w:val="24"/>
              </w:rPr>
              <w:t>.1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中标候选人公示媒介及期限</w:t>
            </w:r>
          </w:p>
        </w:tc>
        <w:tc>
          <w:tcPr>
            <w:tcW w:w="5566" w:type="dxa"/>
            <w:vAlign w:val="center"/>
          </w:tcPr>
          <w:p>
            <w:pPr>
              <w:pStyle w:val="32"/>
              <w:keepNext w:val="0"/>
              <w:keepLines w:val="0"/>
              <w:pageBreakBefore w:val="0"/>
              <w:tabs>
                <w:tab w:val="left" w:pos="5041"/>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公示媒介：广东省招标投标监管网、</w:t>
            </w:r>
            <w:r>
              <w:rPr>
                <w:rFonts w:hint="eastAsia" w:ascii="宋体" w:hAnsi="宋体" w:eastAsia="宋体" w:cs="宋体"/>
                <w:color w:val="auto"/>
                <w:sz w:val="24"/>
                <w:szCs w:val="24"/>
                <w:lang w:val="en-US" w:eastAsia="zh-CN"/>
              </w:rPr>
              <w:t>汕尾市公共资源交易中心</w:t>
            </w:r>
          </w:p>
          <w:p>
            <w:pPr>
              <w:pStyle w:val="32"/>
              <w:keepNext w:val="0"/>
              <w:keepLines w:val="0"/>
              <w:pageBreakBefore w:val="0"/>
              <w:tabs>
                <w:tab w:val="left" w:pos="5041"/>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rPr>
            </w:pPr>
            <w:r>
              <w:rPr>
                <w:rFonts w:hint="eastAsia" w:ascii="宋体" w:hAnsi="宋体" w:eastAsia="宋体" w:cs="宋体"/>
                <w:color w:val="auto"/>
                <w:sz w:val="24"/>
                <w:szCs w:val="24"/>
              </w:rPr>
              <w:t>公示期限：3个工作日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7.4</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是否授权评标委员会</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确定中标人</w:t>
            </w:r>
          </w:p>
        </w:tc>
        <w:tc>
          <w:tcPr>
            <w:tcW w:w="5566" w:type="dxa"/>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是</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7.5</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中标通知书和中标结果通知发出的形式</w:t>
            </w:r>
          </w:p>
        </w:tc>
        <w:tc>
          <w:tcPr>
            <w:tcW w:w="5566" w:type="dxa"/>
            <w:vAlign w:val="center"/>
          </w:tcPr>
          <w:p>
            <w:pPr>
              <w:pStyle w:val="32"/>
              <w:keepNext w:val="0"/>
              <w:keepLines w:val="0"/>
              <w:pageBreakBefore w:val="0"/>
              <w:tabs>
                <w:tab w:val="left" w:pos="419"/>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电子版形式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7.6</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中标结果公告媒介及期限</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公示媒介：广东省招标投标监管网、</w:t>
            </w:r>
            <w:r>
              <w:rPr>
                <w:rFonts w:hint="eastAsia" w:ascii="宋体" w:hAnsi="宋体" w:eastAsia="宋体" w:cs="宋体"/>
                <w:color w:val="auto"/>
                <w:sz w:val="24"/>
                <w:szCs w:val="24"/>
                <w:lang w:val="en-US" w:eastAsia="zh-CN"/>
              </w:rPr>
              <w:t>汕尾市</w:t>
            </w:r>
            <w:r>
              <w:rPr>
                <w:rFonts w:hint="eastAsia" w:ascii="宋体" w:hAnsi="宋体" w:eastAsia="宋体" w:cs="宋体"/>
                <w:color w:val="auto"/>
                <w:sz w:val="24"/>
                <w:szCs w:val="24"/>
                <w:lang w:val="en-US"/>
              </w:rPr>
              <w:t>公共资源交易中心</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公示期限：3个工作日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7.7.1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履约保证金</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是否要求中标人提交履约保证金：</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☑要求，</w:t>
            </w:r>
            <w:r>
              <w:rPr>
                <w:rFonts w:hint="eastAsia" w:ascii="宋体" w:hAnsi="宋体" w:eastAsia="宋体" w:cs="宋体"/>
                <w:color w:val="auto"/>
                <w:sz w:val="24"/>
                <w:szCs w:val="24"/>
                <w:u w:val="single"/>
                <w:lang w:val="en-US" w:eastAsia="zh-CN"/>
              </w:rPr>
              <w:t>履约保证金的形式：银行保函、现金、担保公司保函、保证保险或其他合法形式。</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履约保证金的金额：合同价的10％</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采用银行保函时，出具履约担保的银行级别：投标人公司注册所在地的全国性国有商业银行或股份制商业银行的分支机构。</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□不要求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8.5.1</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监督部门</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default" w:ascii="宋体" w:hAnsi="宋体" w:eastAsia="宋体" w:cs="宋体"/>
                <w:color w:val="auto"/>
                <w:sz w:val="24"/>
                <w:szCs w:val="24"/>
                <w:lang w:val="en-US" w:eastAsia="zh-CN"/>
              </w:rPr>
            </w:pPr>
            <w:r>
              <w:rPr>
                <w:rFonts w:hint="eastAsia" w:ascii="宋体" w:hAnsi="宋体" w:eastAsia="宋体" w:cs="宋体"/>
                <w:color w:val="auto"/>
                <w:sz w:val="24"/>
                <w:szCs w:val="24"/>
                <w:lang w:val="en-US"/>
              </w:rPr>
              <w:t>监督部门：</w:t>
            </w:r>
            <w:r>
              <w:rPr>
                <w:rFonts w:hint="eastAsia" w:cs="宋体"/>
                <w:color w:val="auto"/>
                <w:sz w:val="24"/>
                <w:szCs w:val="24"/>
                <w:lang w:val="en-US" w:eastAsia="zh-CN"/>
              </w:rPr>
              <w:t>陆丰市交通运输局</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地址：广东省陆丰市东海镇龙山路17号</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电话：0660-8512698</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传真：0660-8512698</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邮政编码：5165</w:t>
            </w:r>
            <w:r>
              <w:rPr>
                <w:rFonts w:hint="eastAsia" w:ascii="宋体" w:hAnsi="宋体" w:eastAsia="宋体" w:cs="宋体"/>
                <w:color w:val="auto"/>
                <w:sz w:val="24"/>
                <w:szCs w:val="24"/>
                <w:lang w:val="en-US" w:eastAsia="zh-CN"/>
              </w:rPr>
              <w:t>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4"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9</w:t>
            </w:r>
          </w:p>
        </w:tc>
        <w:tc>
          <w:tcPr>
            <w:tcW w:w="2969"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是否采用用电子招标投标</w:t>
            </w:r>
          </w:p>
        </w:tc>
        <w:tc>
          <w:tcPr>
            <w:tcW w:w="5566"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val="en-US"/>
              </w:rPr>
              <w:t>否</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w:t>
            </w:r>
            <w:r>
              <w:rPr>
                <w:rFonts w:hint="eastAsia" w:ascii="宋体" w:hAnsi="宋体" w:eastAsia="宋体" w:cs="宋体"/>
                <w:color w:val="auto"/>
                <w:sz w:val="24"/>
                <w:szCs w:val="24"/>
                <w:lang w:val="en-US"/>
              </w:rPr>
              <w:t>是，具体要求：</w:t>
            </w:r>
            <w:r>
              <w:rPr>
                <w:rFonts w:hint="eastAsia" w:ascii="宋体" w:hAnsi="宋体" w:eastAsia="宋体" w:cs="宋体"/>
                <w:color w:val="auto"/>
                <w:sz w:val="24"/>
                <w:szCs w:val="24"/>
                <w:lang w:val="en-US" w:eastAsia="zh-CN"/>
              </w:rPr>
              <w:t>本项目实行网上电子投标，网上开、评标。投标人制作和递交电子投标文件详见电子交易系统《建设工程投标系统使用指南(投标人)》，投标时须在汕尾市公共资源交易平台建设工程网上交易系统上提交电子投标文件。只有在投标截止时间前成功递交了电子文件U盘(非加密的电子投标文件)和在网上交易系统提交了电子投标文件的投标人才有效的投标人。</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eastAsia="zh-CN"/>
              </w:rPr>
              <w:t>（1）当系统正常运行时，以系统上的电子投标文件进行开、评标，现场递交的电子文件U盘(非加密的电子投标文件)不作为开、评标评审依据。</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（2）当系统在运行中出现问题导致未能在网上交易系统进行电子开、评标时，则按照现场递交的电子文件U盘(非加密的电子投标文件)里的电子投标文件的作为开、评标评审依据进行开、评标。</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(3)只有在投标截止时间前成功递交了电子文件U盘和电子投标文件的投标人才是有效的投标人。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1.4.4</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pacing w:val="-33"/>
                <w:sz w:val="24"/>
                <w:szCs w:val="24"/>
              </w:rPr>
              <w:t>第</w:t>
            </w:r>
            <w:r>
              <w:rPr>
                <w:rFonts w:hint="eastAsia" w:ascii="宋体" w:hAnsi="宋体" w:eastAsia="宋体" w:cs="宋体"/>
                <w:color w:val="auto"/>
                <w:sz w:val="24"/>
                <w:szCs w:val="24"/>
              </w:rPr>
              <w:t>1.4.4</w:t>
            </w:r>
            <w:r>
              <w:rPr>
                <w:rFonts w:hint="eastAsia" w:ascii="宋体" w:hAnsi="宋体" w:eastAsia="宋体" w:cs="宋体"/>
                <w:color w:val="auto"/>
                <w:spacing w:val="-22"/>
                <w:sz w:val="24"/>
                <w:szCs w:val="24"/>
              </w:rPr>
              <w:t>项中</w:t>
            </w:r>
            <w:r>
              <w:rPr>
                <w:rFonts w:hint="eastAsia" w:ascii="宋体" w:hAnsi="宋体" w:eastAsia="宋体" w:cs="宋体"/>
                <w:color w:val="auto"/>
                <w:sz w:val="24"/>
                <w:szCs w:val="24"/>
              </w:rPr>
              <w:t>（1）目中的“招标项目所在地”指“广东省”。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5"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3.2.1</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投标人须知正文第3.2.1项部分内容细化如下：</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投标人须知正文3.2.1项部分内容细化如下：</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本项目招标采用工程量固化清单，招标人在发布招标文件的同时将工程量固化清单电子文件按投标人须知前附表载明的形式公布给投标人。投标人填写工程量清单中各子目的单价及总额价，即可完成投标工程量清单的编制，确定投标报价，并打印出投标工程量清单，编入投标文件。投标人未在工程量清单中填入单价或总额价的工程子目，将被认为其已包含在工程量清单其他子目的单价和总额价中，招标人将不予支付。</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投标人必须严格遵循工程量固化清单电子文件中的数据、格式，并将已填写完毕的投标工程量清单电子文件单独拷入投标人自备的U盘中密封在投标文件第二个信封（报价文件）内一并交回。严禁投标人修改工程量固化清单电子文件中的数据、格式。</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（3）投标人根据招标人提供的工程量固化清单电子文件填报完成并打印的投标工程量清单中的投标报价和投标函大写金额报价应一致，如果报价金额出现差异时，其投标将被否决。</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增加以下内容：</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4）投标报价的所有单价取小数点后两位，所有合价和总价应四舍五入取整数。工程量清单不需要附单价分析表、项目清单、分项清单，但投标人中标后，发包人可要求中标人提交项目清单、分项清单及单价分析表，中标人不得拒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3.5.2</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2"/>
                <w:sz w:val="24"/>
                <w:szCs w:val="24"/>
              </w:rPr>
              <w:t>投标人须知正文第</w:t>
            </w:r>
            <w:r>
              <w:rPr>
                <w:rFonts w:hint="eastAsia" w:ascii="宋体" w:hAnsi="宋体" w:eastAsia="宋体" w:cs="宋体"/>
                <w:color w:val="auto"/>
                <w:sz w:val="24"/>
                <w:szCs w:val="24"/>
              </w:rPr>
              <w:t>3.5.2项内容修改如下：</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pacing w:val="-1"/>
                <w:sz w:val="24"/>
                <w:szCs w:val="24"/>
              </w:rPr>
              <w:t>“近年财务状况表”具体年份要求见投标人须知前附表，近年财务信息以投标人提</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rPr>
              <w:t>供的“全国公路建设市场信用信息管理系统”企业所填的信息截图或经会计师事务所或审计机构审计的</w:t>
            </w:r>
            <w:r>
              <w:rPr>
                <w:rFonts w:hint="eastAsia" w:ascii="宋体" w:hAnsi="宋体" w:eastAsia="宋体" w:cs="宋体"/>
                <w:color w:val="auto"/>
                <w:sz w:val="24"/>
                <w:szCs w:val="24"/>
                <w:lang w:eastAsia="zh-CN"/>
              </w:rPr>
              <w:t>审计报告</w:t>
            </w:r>
            <w:r>
              <w:rPr>
                <w:rFonts w:hint="eastAsia" w:ascii="宋体" w:hAnsi="宋体" w:eastAsia="宋体" w:cs="宋体"/>
                <w:color w:val="auto"/>
                <w:sz w:val="24"/>
                <w:szCs w:val="24"/>
              </w:rPr>
              <w:t>复印件。投标人的成立</w:t>
            </w:r>
            <w:r>
              <w:rPr>
                <w:rFonts w:hint="eastAsia" w:ascii="宋体" w:hAnsi="宋体" w:eastAsia="宋体" w:cs="宋体"/>
                <w:color w:val="auto"/>
                <w:spacing w:val="-2"/>
                <w:sz w:val="24"/>
                <w:szCs w:val="24"/>
              </w:rPr>
              <w:t>时间少于投标人须知前附表规定年份的，应提供成立以来的财务信息截图或网页打印件</w:t>
            </w:r>
            <w:r>
              <w:rPr>
                <w:rFonts w:hint="eastAsia" w:ascii="宋体" w:hAnsi="宋体" w:eastAsia="宋体" w:cs="宋体"/>
                <w:color w:val="auto"/>
                <w:sz w:val="24"/>
                <w:szCs w:val="24"/>
              </w:rPr>
              <w:t>或经会计师事务所或审计机构审计的</w:t>
            </w:r>
            <w:r>
              <w:rPr>
                <w:rFonts w:hint="eastAsia" w:ascii="宋体" w:hAnsi="宋体" w:eastAsia="宋体" w:cs="宋体"/>
                <w:color w:val="auto"/>
                <w:sz w:val="24"/>
                <w:szCs w:val="24"/>
                <w:lang w:eastAsia="zh-CN"/>
              </w:rPr>
              <w:t>审计报告</w:t>
            </w:r>
            <w:r>
              <w:rPr>
                <w:rFonts w:hint="eastAsia" w:ascii="宋体" w:hAnsi="宋体" w:eastAsia="宋体" w:cs="宋体"/>
                <w:color w:val="auto"/>
                <w:sz w:val="24"/>
                <w:szCs w:val="24"/>
              </w:rPr>
              <w:t>复印件</w:t>
            </w:r>
            <w:r>
              <w:rPr>
                <w:rFonts w:hint="eastAsia" w:ascii="宋体" w:hAnsi="宋体" w:eastAsia="宋体" w:cs="宋体"/>
                <w:color w:val="auto"/>
                <w:spacing w:val="-2"/>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240" w:firstLineChars="1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3.5.3</w:t>
            </w:r>
          </w:p>
        </w:tc>
        <w:tc>
          <w:tcPr>
            <w:tcW w:w="8535" w:type="dxa"/>
            <w:gridSpan w:val="2"/>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投标人须知正文第3.5.3项内容修改如下：</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2019年</w:t>
            </w:r>
            <w:r>
              <w:rPr>
                <w:rFonts w:hint="eastAsia" w:cs="宋体"/>
                <w:color w:val="auto"/>
                <w:sz w:val="24"/>
                <w:szCs w:val="24"/>
                <w:lang w:val="en-US" w:eastAsia="zh-CN"/>
              </w:rPr>
              <w:t>1</w:t>
            </w:r>
            <w:r>
              <w:rPr>
                <w:rFonts w:hint="eastAsia" w:ascii="宋体" w:hAnsi="宋体" w:eastAsia="宋体" w:cs="宋体"/>
                <w:color w:val="auto"/>
                <w:sz w:val="24"/>
                <w:szCs w:val="24"/>
                <w:lang w:val="en-US" w:eastAsia="zh-CN"/>
              </w:rPr>
              <w:t>月1日至投标截止时间承担过一项建设规模不少于</w:t>
            </w:r>
            <w:r>
              <w:rPr>
                <w:rFonts w:hint="eastAsia" w:cs="宋体"/>
                <w:color w:val="auto"/>
                <w:sz w:val="24"/>
                <w:szCs w:val="24"/>
                <w:lang w:val="en-US" w:eastAsia="zh-CN"/>
              </w:rPr>
              <w:t>2</w:t>
            </w:r>
            <w:r>
              <w:rPr>
                <w:rFonts w:hint="eastAsia" w:ascii="宋体" w:hAnsi="宋体" w:eastAsia="宋体" w:cs="宋体"/>
                <w:color w:val="auto"/>
                <w:sz w:val="24"/>
                <w:szCs w:val="24"/>
                <w:lang w:val="en-US" w:eastAsia="zh-CN"/>
              </w:rPr>
              <w:t>KM的公路工程类（新建、改建、扩建、路面改造、路面大修等以公路标准设计施工建设）项目业绩。</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业绩须提供“全国公路建设市场信用信息管理系统”网页截图或提供县级或县级以上公共资源交易中心盖章的中标通知书复印件、施工合同关键页证明复印件，时间和规模以“全国公路建设市场信用信息管理系统”上显示的开工日期或施工合同签订的时间及规模为准。本工程建设单位将核对业绩证明材料的真实性，如发现弄虚作假，将记入不良行为，在媒体上公告，已中标的取消中标资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3.5.4</w:t>
            </w:r>
          </w:p>
        </w:tc>
        <w:tc>
          <w:tcPr>
            <w:tcW w:w="8535" w:type="dxa"/>
            <w:gridSpan w:val="2"/>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投标人须知正文第3.5.4项内容修改如下：</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“投标人的信誉情况”应附投标人在国家企业信用信息公示系统中未被列入严重违法失信企业名单、在“信用中国”网站中未被列入失信被执行人名单的网页截图复印件。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3.5.5</w:t>
            </w:r>
          </w:p>
        </w:tc>
        <w:tc>
          <w:tcPr>
            <w:tcW w:w="8535" w:type="dxa"/>
            <w:gridSpan w:val="2"/>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删除原3.5.5项内容，修改如下：</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3.5.5“拟委任的项目经理和项目总工资历表”应同时附应同时附①项目经理和项目总工最低要求资格证书打印件；②投标人所属社保机构出具的拟委任的项目经理和项目总工的社保缴费证明或其他能够证明拟委任的项目经理和项目总工参加社保的有效证明材料复印件(社保时段为投标文件递交截止日前近3个月，不含开标当月)。</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除上述资料外，投标人无需再提供任何证明材料。</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项目经理不得在其他项目上任职。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4.2.4</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投标人须知范本原文第4.2.4项修改如下：</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4.2.4投标人在递交投标文件时，应在递交文件登记表上签字，同时招标人负责接收投标文件的工作人员也应在递交文件登记表上签字确认收到该投标人的投标文件。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5.2.3</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原5.2.3（7）目末增加如下内容：</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投标人未参加第二信封开标的，招标人应当在评标结束后及时将第二信封原封退还投标人。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rPr>
            </w:pP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6.1.2</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原6.1.2项末增加如下内容：</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rPr>
              <w:t>招标人及其子公司、招标人的上级主管部门或者控股公司、招标代理机构的工作人员或者退休人员不得以专家身份参与本单位招标或者招标代理项目的评标。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7.8.6</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增加7.8.6项“不平衡报价的处理”</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中标人如果存在不平衡报价，招标人可以在保证投标总价不变的前提下予以合理调整，中标人应无条件接受。不平衡报价处理的具体条款如下：</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在签订合同前，招标人组织人员对中标人的工程量清单报价进行审核：</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（1）若中标人的工程量清单报价，超过如下范围：招标人招标清单预算相应单价与（1-中标人中标价下浮率）乘积的85%~115%，则视为存在不平衡报价。</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如果存在不平衡报价，招标人将在保证投标总价不变的前提下，按以下原则调整其工程量清单报价（不随报价调整的除外）：（1）招标人招标清单预算相应单价×（1-中标人中标价下浮率）为基准进行调整；（2）按上述算术修正和本款调整后，对以百分比记取的非固定报价项目的报价也应作相应的修正。</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（2）为使调整后的投标总价保持不变，对处于招标人招标清单预算相应单价与</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lang w:val="en-US" w:eastAsia="zh-CN"/>
              </w:rPr>
              <w:t>（1-中标人中标价下浮率）乘积的的85%~115%内的报价，招标人有权根据本项第（1）条调整原则进行报价调整。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8.5</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投标人须知范本原文第8.5.1项细化如下：</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rPr>
              <w:t>8.5.1投标人或其他利害关系人认为招标投标活动不符合法律、行政法规规定的，可以自知道或应当知道之日起10日内向有关行政监督部门投诉。对于按法规规定需要先提出异议的投诉，交通运输主管部门在受理投诉时要求投诉人递交提出异议的证明文件，已向有关行政监督部门投诉的，应当一并说明。未按规定提出异议或者未提交已提出异议的证明文件的投诉，交通运输主管部门不予受理。投诉人缺乏事实根据或者法律依据进行投诉的，或者有证据表明投诉人捏造事实、伪造材料的，或者投诉人以非法手段取得证明材料进行投诉的，交通运输主管部门应当予以驳回，并对恶意投诉按照有关规定追究投诉人责任。行政监督部门接到对招标投标活动有效投诉的，应当制止或者要求整改，整改期间可以暂停其招标投标活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1118" w:type="dxa"/>
            <w:vAlign w:val="center"/>
          </w:tcPr>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10.1</w:t>
            </w: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在10.1款后增加如下条款:10.2款、10.3款、10.4款、10.5款、10.6款、10.7、10.8款、10.9款。</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10.2信用等级的确定原则:</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10.2.1招标文件中的信用等级指的是广东省交通运输厅最新一年度的信用评价。如无广东省最新一年度信用等级而上一年度有广东省信用等级的，则其原信用等级可延续一年，但在递交资审申请文件(资格后审的为投标文件)时信用等级的使用次数应按上一年度公布的信用评价结果顺延上一年度的使用次数，使用次数有关规定执行粤交基[2014]564号文的要求。</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10.2.2信用等级延续1年后仍无信用评价等级的，按照初次进入广东省确定，原则上按B级对待，但下列情况除外</w:t>
            </w:r>
            <w:r>
              <w:rPr>
                <w:rFonts w:hint="eastAsia" w:ascii="宋体" w:hAnsi="宋体" w:eastAsia="宋体" w:cs="宋体"/>
                <w:color w:val="000000" w:themeColor="text1"/>
                <w:sz w:val="24"/>
                <w:szCs w:val="24"/>
                <w:lang w:eastAsia="zh-CN"/>
                <w14:textFill>
                  <w14:solidFill>
                    <w14:schemeClr w14:val="tx1"/>
                  </w14:solidFill>
                </w14:textFill>
              </w:rPr>
              <w:t>：</w:t>
            </w:r>
            <w:r>
              <w:rPr>
                <w:rFonts w:hint="eastAsia" w:ascii="宋体" w:hAnsi="宋体" w:eastAsia="宋体" w:cs="宋体"/>
                <w:color w:val="000000" w:themeColor="text1"/>
                <w:sz w:val="24"/>
                <w:szCs w:val="24"/>
                <w14:textFill>
                  <w14:solidFill>
                    <w14:schemeClr w14:val="tx1"/>
                  </w14:solidFill>
                </w14:textFill>
              </w:rPr>
              <w:t>最新一年度的全国综合评价结果为C级或D级的，则按最新一年度的全国综合评价结果等级对待:或最新一年度的全国综合评价结果未被评为C级或D级的，但在广东省最近年度原评价等级为D级的，则按C级对待。</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14:textFill>
                  <w14:solidFill>
                    <w14:schemeClr w14:val="tx1"/>
                  </w14:solidFill>
                </w14:textFill>
              </w:rPr>
              <w:t>10.2.3AA、A级单位是指使用广东省信用评价等级申请承诺书的单位。提交申请承诺书未使用AA、A时，在评标过程中，AA级信用等级企业按A级对待、A级信用等级企业按B级对待。(注:属于资格预审项目的，以资格预审申请文件的为准。当出现跨年度信用等级时，以投标人资格预审时申请使用信用等级与投标文件递交日时的信用等级作比较，按“就低原则”认定等级，即降低等级的按低等级认定、升高等级的仍维持资审时的申请等级。)</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10.2.4在招标评标中，信用评价等级采用按次、按标段或标类(指资格预审时未明确具体标段的情形)申请使用的原则，即在同一次招标中的多个标段的投标，可自愿对其中部分或全部标段申请使用AA或A信用等级，无论中标与否，均应根据申请递交投标(或申请)文件情况按标段计算使用次数(非投标人原因导致招标失败的情况除外)。</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10.3如果推荐的第一中标候选人放弃中标、因不可抗力提出不能履行合同、或因被投诉经查证属实取消中标资格的，或者招标文件规定应当提交履约保证金而在规定的期限内未能提交的，招标人可以确定排名第二的中标候选人为中标人，或重新组织招标，以此类推。</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10.4</w:t>
            </w:r>
            <w:r>
              <w:rPr>
                <w:rFonts w:hint="eastAsia" w:ascii="宋体" w:hAnsi="宋体" w:eastAsia="宋体" w:cs="宋体"/>
                <w:color w:val="auto"/>
                <w:sz w:val="24"/>
                <w:szCs w:val="24"/>
              </w:rPr>
              <w:t>如果开标后至中标通知书发出前，中标候选人发生投标人须知1.4.4（1）至（7）的情形及中标候选人信用等级被广东省交通运输厅直接降为D级的情形，则</w:t>
            </w:r>
            <w:r>
              <w:rPr>
                <w:rFonts w:hint="eastAsia" w:ascii="宋体" w:hAnsi="宋体" w:eastAsia="宋体" w:cs="宋体"/>
                <w:color w:val="auto"/>
                <w:sz w:val="24"/>
                <w:szCs w:val="24"/>
                <w:lang w:eastAsia="zh-CN"/>
              </w:rPr>
              <w:t>取消</w:t>
            </w:r>
            <w:r>
              <w:rPr>
                <w:rFonts w:hint="eastAsia" w:ascii="宋体" w:hAnsi="宋体" w:eastAsia="宋体" w:cs="宋体"/>
                <w:color w:val="auto"/>
                <w:sz w:val="24"/>
                <w:szCs w:val="24"/>
              </w:rPr>
              <w:t>其中标资格，按否决其投标处理；</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发生以上情况时，招标人按推荐中标候选人排名顺序依次确定中标人，或重新组织招标。</w:t>
            </w:r>
          </w:p>
          <w:p>
            <w:pPr>
              <w:pStyle w:val="32"/>
              <w:keepNext w:val="0"/>
              <w:keepLines w:val="0"/>
              <w:pageBreakBefore w:val="0"/>
              <w:tabs>
                <w:tab w:val="left" w:pos="220"/>
                <w:tab w:val="left" w:pos="6604"/>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rPr>
              <w:t>10.5</w:t>
            </w:r>
            <w:r>
              <w:rPr>
                <w:rFonts w:hint="eastAsia" w:ascii="宋体" w:hAnsi="宋体" w:eastAsia="宋体" w:cs="宋体"/>
                <w:color w:val="auto"/>
                <w:sz w:val="24"/>
                <w:szCs w:val="24"/>
              </w:rPr>
              <w:t>本招标文件中所有“类似工程”均指</w:t>
            </w:r>
            <w:r>
              <w:rPr>
                <w:rFonts w:hint="eastAsia" w:ascii="宋体" w:hAnsi="宋体" w:eastAsia="宋体" w:cs="宋体"/>
                <w:color w:val="auto"/>
                <w:sz w:val="24"/>
                <w:szCs w:val="24"/>
                <w:lang w:val="en-US"/>
              </w:rPr>
              <w:t>新建、改建、扩建、路面改造、路面大修</w:t>
            </w:r>
            <w:r>
              <w:rPr>
                <w:rFonts w:hint="eastAsia" w:ascii="宋体" w:hAnsi="宋体" w:eastAsia="宋体" w:cs="宋体"/>
                <w:color w:val="auto"/>
                <w:sz w:val="24"/>
                <w:szCs w:val="24"/>
              </w:rPr>
              <w:t>施工项目。</w:t>
            </w:r>
          </w:p>
          <w:p>
            <w:pPr>
              <w:pStyle w:val="32"/>
              <w:keepNext w:val="0"/>
              <w:keepLines w:val="0"/>
              <w:pageBreakBefore w:val="0"/>
              <w:tabs>
                <w:tab w:val="left" w:pos="220"/>
                <w:tab w:val="left" w:pos="6604"/>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10.6</w:t>
            </w:r>
            <w:r>
              <w:rPr>
                <w:rFonts w:hint="eastAsia" w:ascii="宋体" w:hAnsi="宋体" w:eastAsia="宋体" w:cs="宋体"/>
                <w:color w:val="auto"/>
                <w:sz w:val="24"/>
                <w:szCs w:val="24"/>
              </w:rPr>
              <w:t>若投标人</w:t>
            </w:r>
            <w:r>
              <w:rPr>
                <w:rFonts w:hint="eastAsia" w:ascii="宋体" w:hAnsi="宋体" w:eastAsia="宋体" w:cs="宋体"/>
                <w:color w:val="auto"/>
                <w:sz w:val="24"/>
                <w:szCs w:val="24"/>
                <w:lang w:eastAsia="zh-CN"/>
              </w:rPr>
              <w:t>获取</w:t>
            </w:r>
            <w:r>
              <w:rPr>
                <w:rFonts w:hint="eastAsia" w:ascii="宋体" w:hAnsi="宋体" w:eastAsia="宋体" w:cs="宋体"/>
                <w:color w:val="auto"/>
                <w:sz w:val="24"/>
                <w:szCs w:val="24"/>
              </w:rPr>
              <w:t>招标文件后，因故放弃投标，</w:t>
            </w:r>
            <w:r>
              <w:rPr>
                <w:rFonts w:hint="eastAsia" w:ascii="宋体" w:hAnsi="宋体" w:eastAsia="宋体" w:cs="宋体"/>
                <w:color w:val="auto"/>
                <w:sz w:val="24"/>
                <w:szCs w:val="24"/>
                <w:lang w:eastAsia="zh-CN"/>
              </w:rPr>
              <w:t>视为投标人主动放弃投标，产生的后果与招标人无关</w:t>
            </w:r>
            <w:r>
              <w:rPr>
                <w:rFonts w:hint="eastAsia" w:ascii="宋体" w:hAnsi="宋体" w:eastAsia="宋体" w:cs="宋体"/>
                <w:color w:val="auto"/>
                <w:sz w:val="24"/>
                <w:szCs w:val="24"/>
              </w:rPr>
              <w:t>。</w:t>
            </w:r>
          </w:p>
          <w:p>
            <w:pPr>
              <w:pStyle w:val="32"/>
              <w:keepNext w:val="0"/>
              <w:keepLines w:val="0"/>
              <w:pageBreakBefore w:val="0"/>
              <w:tabs>
                <w:tab w:val="left" w:pos="899"/>
              </w:tabs>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pacing w:val="-1"/>
                <w:sz w:val="24"/>
                <w:szCs w:val="24"/>
                <w:lang w:val="en-US"/>
              </w:rPr>
              <w:t>10.7</w:t>
            </w:r>
            <w:r>
              <w:rPr>
                <w:rFonts w:hint="eastAsia" w:ascii="宋体" w:hAnsi="宋体" w:eastAsia="宋体" w:cs="宋体"/>
                <w:color w:val="auto"/>
                <w:spacing w:val="-1"/>
                <w:sz w:val="24"/>
                <w:szCs w:val="24"/>
              </w:rPr>
              <w:t>若投标人在递交投标文件期间，出现采取不正当手段妨碍其他投标人投标的过</w:t>
            </w:r>
            <w:r>
              <w:rPr>
                <w:rFonts w:hint="eastAsia" w:ascii="宋体" w:hAnsi="宋体" w:eastAsia="宋体" w:cs="宋体"/>
                <w:color w:val="auto"/>
                <w:sz w:val="24"/>
                <w:szCs w:val="24"/>
              </w:rPr>
              <w:t>激行为，或出现在开标会现场扰乱招投标市场秩序的行为，招标人有权将投标人此行为上报省级交通主管部门，作为不良记录纳入公路建设市场信用信息管理系统。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118" w:type="dxa"/>
            <w:vAlign w:val="center"/>
          </w:tcPr>
          <w:p>
            <w:pPr>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rPr>
            </w:pPr>
            <w:r>
              <w:rPr>
                <w:rFonts w:hint="eastAsia" w:ascii="宋体" w:hAnsi="宋体" w:eastAsia="宋体" w:cs="宋体"/>
                <w:color w:val="auto"/>
                <w:sz w:val="24"/>
                <w:szCs w:val="24"/>
                <w:lang w:val="en-US"/>
              </w:rPr>
              <w:t>10.2</w:t>
            </w:r>
          </w:p>
          <w:p>
            <w:pPr>
              <w:pStyle w:val="13"/>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center"/>
              <w:textAlignment w:val="auto"/>
              <w:rPr>
                <w:rFonts w:hint="eastAsia" w:ascii="宋体" w:hAnsi="宋体" w:eastAsia="宋体" w:cs="宋体"/>
                <w:color w:val="auto"/>
                <w:sz w:val="24"/>
                <w:szCs w:val="24"/>
                <w:lang w:val="en-US" w:eastAsia="zh-CN"/>
              </w:rPr>
            </w:pPr>
          </w:p>
        </w:tc>
        <w:tc>
          <w:tcPr>
            <w:tcW w:w="8535" w:type="dxa"/>
            <w:gridSpan w:val="2"/>
            <w:vAlign w:val="center"/>
          </w:tcPr>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根据《省人力资源和社会保障局等九部门关于印发〈广东省建设领域工人工资支付分帐管理暂行办法〉的通知》的有关规定，中标单位应在签订合同后5个工作日内到指定银行设立工资支付保证金专用帐户，其工资支付保证金按以下标准存储:</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(一)工程总造价在200万元以下(含200万元)的，按工程总造价的10%存储。按比例</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计算不足10万元，按10万元存储;</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(二)工程总造价在200万元以上的，200万元部门按10%，200万元以上部分按5%存储。</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每个工程存储工资支付保证金最高不超过300万元。</w:t>
            </w:r>
          </w:p>
          <w:p>
            <w:pPr>
              <w:pStyle w:val="32"/>
              <w:keepNext w:val="0"/>
              <w:keepLines w:val="0"/>
              <w:pageBreakBefore w:val="0"/>
              <w:kinsoku/>
              <w:wordWrap/>
              <w:overflowPunct/>
              <w:topLinePunct w:val="0"/>
              <w:autoSpaceDE w:val="0"/>
              <w:autoSpaceDN w:val="0"/>
              <w:bidi w:val="0"/>
              <w:adjustRightInd/>
              <w:snapToGrid/>
              <w:spacing w:line="240" w:lineRule="auto"/>
              <w:ind w:left="0" w:leftChars="0" w:right="0" w:rightChars="0" w:firstLine="0" w:firstLineChars="0"/>
              <w:jc w:val="left"/>
              <w:textAlignment w:val="auto"/>
              <w:rPr>
                <w:rFonts w:hint="eastAsia" w:ascii="宋体" w:hAnsi="宋体" w:eastAsia="宋体" w:cs="宋体"/>
                <w:color w:val="auto"/>
                <w:spacing w:val="-1"/>
                <w:sz w:val="24"/>
                <w:szCs w:val="24"/>
                <w:lang w:val="en-US" w:eastAsia="zh-CN"/>
              </w:rPr>
            </w:pPr>
            <w:r>
              <w:rPr>
                <w:rFonts w:hint="eastAsia" w:ascii="宋体" w:hAnsi="宋体" w:eastAsia="宋体" w:cs="宋体"/>
                <w:color w:val="auto"/>
                <w:sz w:val="24"/>
                <w:szCs w:val="24"/>
              </w:rPr>
              <w:t>公开招标投标的工程造价按中标价确认，其他工程由项目审批部门核准确定或按承包合同价确认。</w:t>
            </w:r>
          </w:p>
        </w:tc>
      </w:tr>
    </w:tbl>
    <w:p>
      <w:pPr>
        <w:tabs>
          <w:tab w:val="left" w:pos="3674"/>
        </w:tabs>
        <w:spacing w:before="215"/>
        <w:rPr>
          <w:color w:val="auto"/>
          <w:sz w:val="28"/>
        </w:rPr>
      </w:pPr>
    </w:p>
    <w:p>
      <w:pPr>
        <w:tabs>
          <w:tab w:val="left" w:pos="3674"/>
        </w:tabs>
        <w:spacing w:before="215"/>
        <w:ind w:left="2624"/>
        <w:rPr>
          <w:color w:val="auto"/>
          <w:w w:val="95"/>
          <w:sz w:val="28"/>
        </w:rPr>
      </w:pPr>
      <w:r>
        <w:rPr>
          <w:color w:val="auto"/>
          <w:sz w:val="28"/>
        </w:rPr>
        <w:t>附录1</w:t>
      </w:r>
      <w:r>
        <w:rPr>
          <w:color w:val="auto"/>
          <w:sz w:val="28"/>
        </w:rPr>
        <w:tab/>
      </w:r>
      <w:r>
        <w:rPr>
          <w:color w:val="auto"/>
          <w:w w:val="95"/>
          <w:sz w:val="28"/>
        </w:rPr>
        <w:t>资格审查条件(资质最低条件)</w:t>
      </w:r>
    </w:p>
    <w:p>
      <w:pPr>
        <w:tabs>
          <w:tab w:val="left" w:pos="3674"/>
        </w:tabs>
        <w:spacing w:before="215"/>
        <w:ind w:left="2624"/>
        <w:rPr>
          <w:color w:val="auto"/>
          <w:w w:val="95"/>
          <w:sz w:val="28"/>
        </w:rPr>
      </w:pPr>
    </w:p>
    <w:p>
      <w:pPr>
        <w:pStyle w:val="13"/>
        <w:rPr>
          <w:color w:val="auto"/>
          <w:sz w:val="20"/>
        </w:rPr>
      </w:pP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atLeast"/>
        </w:trPr>
        <w:tc>
          <w:tcPr>
            <w:tcW w:w="9780" w:type="dxa"/>
            <w:vAlign w:val="center"/>
          </w:tcPr>
          <w:p>
            <w:pPr>
              <w:pStyle w:val="13"/>
              <w:jc w:val="center"/>
              <w:rPr>
                <w:rFonts w:hint="eastAsia" w:ascii="宋体" w:hAnsi="宋体" w:eastAsia="宋体" w:cs="宋体"/>
                <w:color w:val="auto"/>
                <w:sz w:val="28"/>
                <w:szCs w:val="28"/>
                <w:vertAlign w:val="baseline"/>
              </w:rPr>
            </w:pPr>
            <w:r>
              <w:rPr>
                <w:rFonts w:hint="eastAsia" w:ascii="宋体" w:hAnsi="宋体" w:eastAsia="宋体" w:cs="宋体"/>
                <w:color w:val="auto"/>
                <w:spacing w:val="10"/>
                <w:sz w:val="28"/>
                <w:szCs w:val="28"/>
              </w:rPr>
              <w:t>施</w:t>
            </w:r>
            <w:r>
              <w:rPr>
                <w:rFonts w:hint="eastAsia" w:ascii="宋体" w:hAnsi="宋体" w:eastAsia="宋体" w:cs="宋体"/>
                <w:color w:val="auto"/>
                <w:spacing w:val="9"/>
                <w:sz w:val="28"/>
                <w:szCs w:val="28"/>
              </w:rPr>
              <w:t>工企业资质等级要求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8" w:hRule="atLeast"/>
        </w:trPr>
        <w:tc>
          <w:tcPr>
            <w:tcW w:w="9780" w:type="dxa"/>
            <w:vAlign w:val="center"/>
          </w:tcPr>
          <w:p>
            <w:pPr>
              <w:pStyle w:val="13"/>
              <w:numPr>
                <w:ilvl w:val="0"/>
                <w:numId w:val="3"/>
              </w:numPr>
              <w:spacing w:before="2"/>
              <w:jc w:val="left"/>
              <w:rPr>
                <w:rFonts w:hint="eastAsia" w:ascii="宋体" w:hAnsi="宋体" w:eastAsia="宋体" w:cs="宋体"/>
                <w:color w:val="auto"/>
                <w:sz w:val="28"/>
                <w:szCs w:val="28"/>
                <w:lang w:val="en-US" w:eastAsia="zh-CN" w:bidi="zh-CN"/>
              </w:rPr>
            </w:pPr>
            <w:r>
              <w:rPr>
                <w:rFonts w:hint="eastAsia" w:ascii="宋体" w:hAnsi="宋体" w:eastAsia="宋体" w:cs="宋体"/>
                <w:color w:val="auto"/>
                <w:sz w:val="28"/>
                <w:szCs w:val="28"/>
                <w:lang w:val="en-US" w:eastAsia="zh-CN" w:bidi="zh-CN"/>
              </w:rPr>
              <w:t>具备建设行政主管部门核发公路工程施工总承包三级以上(含三级)资质并具有合法有效的安全生产许可证，且投标人应进入交通运输部“全国公路建设市场信用信息管理系统(http:glxy.mot.gov.cn)”中的公路工程施工资质企业名录，且投标人名称和资质与该名录中的相应企业名称和资质完全一致。</w:t>
            </w:r>
          </w:p>
          <w:p>
            <w:pPr>
              <w:pStyle w:val="13"/>
              <w:numPr>
                <w:ilvl w:val="0"/>
                <w:numId w:val="3"/>
              </w:numPr>
              <w:spacing w:before="2"/>
              <w:jc w:val="left"/>
              <w:rPr>
                <w:rFonts w:hint="eastAsia" w:ascii="宋体" w:hAnsi="宋体" w:eastAsia="宋体" w:cs="宋体"/>
                <w:color w:val="auto"/>
                <w:sz w:val="28"/>
                <w:szCs w:val="28"/>
                <w:lang w:val="en-US" w:eastAsia="zh-CN" w:bidi="zh-CN"/>
              </w:rPr>
            </w:pPr>
            <w:r>
              <w:rPr>
                <w:rFonts w:hint="eastAsia" w:ascii="宋体" w:hAnsi="宋体" w:eastAsia="宋体" w:cs="宋体"/>
                <w:color w:val="auto"/>
                <w:sz w:val="28"/>
                <w:szCs w:val="28"/>
                <w:lang w:val="en-US" w:eastAsia="zh-CN" w:bidi="zh-CN"/>
              </w:rPr>
              <w:t>具有有效的施工企业《安全生产许可证》。</w:t>
            </w:r>
          </w:p>
          <w:p>
            <w:pPr>
              <w:pStyle w:val="13"/>
              <w:jc w:val="center"/>
              <w:rPr>
                <w:rFonts w:hint="eastAsia" w:ascii="宋体" w:hAnsi="宋体" w:eastAsia="宋体" w:cs="宋体"/>
                <w:color w:val="auto"/>
                <w:sz w:val="28"/>
                <w:szCs w:val="28"/>
                <w:vertAlign w:val="baseline"/>
              </w:rPr>
            </w:pPr>
          </w:p>
        </w:tc>
      </w:tr>
    </w:tbl>
    <w:p>
      <w:pPr>
        <w:pStyle w:val="13"/>
        <w:rPr>
          <w:color w:val="auto"/>
          <w:sz w:val="20"/>
        </w:rPr>
      </w:pPr>
    </w:p>
    <w:p>
      <w:pPr>
        <w:pStyle w:val="13"/>
        <w:rPr>
          <w:color w:val="auto"/>
          <w:sz w:val="20"/>
        </w:rPr>
      </w:pPr>
    </w:p>
    <w:p>
      <w:pPr>
        <w:pStyle w:val="13"/>
        <w:ind w:right="183" w:rightChars="83" w:firstLine="400" w:firstLineChars="200"/>
        <w:rPr>
          <w:color w:val="auto"/>
          <w:sz w:val="20"/>
        </w:rPr>
      </w:pPr>
    </w:p>
    <w:p>
      <w:pPr>
        <w:pStyle w:val="13"/>
        <w:rPr>
          <w:color w:val="auto"/>
          <w:sz w:val="20"/>
        </w:rPr>
      </w:pPr>
    </w:p>
    <w:p>
      <w:pPr>
        <w:pStyle w:val="13"/>
        <w:rPr>
          <w:rFonts w:hint="eastAsia" w:eastAsia="宋体"/>
          <w:color w:val="auto"/>
          <w:sz w:val="20"/>
          <w:lang w:eastAsia="zh-CN"/>
        </w:rPr>
      </w:pPr>
    </w:p>
    <w:p>
      <w:pPr>
        <w:pStyle w:val="13"/>
        <w:rPr>
          <w:color w:val="auto"/>
          <w:sz w:val="20"/>
        </w:rPr>
      </w:pPr>
    </w:p>
    <w:p>
      <w:pPr>
        <w:pStyle w:val="13"/>
        <w:rPr>
          <w:color w:val="auto"/>
          <w:sz w:val="20"/>
        </w:rPr>
      </w:pPr>
    </w:p>
    <w:p>
      <w:pPr>
        <w:pStyle w:val="13"/>
        <w:rPr>
          <w:color w:val="auto"/>
          <w:sz w:val="20"/>
        </w:rPr>
      </w:pPr>
    </w:p>
    <w:p>
      <w:pPr>
        <w:rPr>
          <w:color w:val="auto"/>
          <w:sz w:val="28"/>
        </w:rPr>
      </w:pPr>
      <w:r>
        <w:rPr>
          <w:color w:val="auto"/>
          <w:sz w:val="28"/>
        </w:rPr>
        <w:br w:type="page"/>
      </w:r>
    </w:p>
    <w:p>
      <w:pPr>
        <w:tabs>
          <w:tab w:val="left" w:pos="3674"/>
        </w:tabs>
        <w:spacing w:before="192"/>
        <w:ind w:left="2624"/>
        <w:rPr>
          <w:color w:val="auto"/>
          <w:sz w:val="28"/>
        </w:rPr>
      </w:pPr>
    </w:p>
    <w:p>
      <w:pPr>
        <w:tabs>
          <w:tab w:val="left" w:pos="3674"/>
        </w:tabs>
        <w:spacing w:before="192"/>
        <w:ind w:left="2624"/>
        <w:rPr>
          <w:color w:val="auto"/>
          <w:sz w:val="28"/>
        </w:rPr>
      </w:pPr>
    </w:p>
    <w:p>
      <w:pPr>
        <w:tabs>
          <w:tab w:val="left" w:pos="3674"/>
        </w:tabs>
        <w:spacing w:before="192"/>
        <w:ind w:left="2624"/>
        <w:rPr>
          <w:color w:val="auto"/>
          <w:sz w:val="28"/>
        </w:rPr>
      </w:pPr>
    </w:p>
    <w:p>
      <w:pPr>
        <w:tabs>
          <w:tab w:val="left" w:pos="3674"/>
        </w:tabs>
        <w:spacing w:before="192"/>
        <w:ind w:left="2624"/>
        <w:rPr>
          <w:color w:val="auto"/>
          <w:w w:val="95"/>
          <w:sz w:val="28"/>
        </w:rPr>
      </w:pPr>
      <w:r>
        <w:rPr>
          <w:color w:val="auto"/>
          <w:sz w:val="28"/>
        </w:rPr>
        <w:t>附录2</w:t>
      </w:r>
      <w:r>
        <w:rPr>
          <w:color w:val="auto"/>
          <w:sz w:val="28"/>
        </w:rPr>
        <w:tab/>
      </w:r>
      <w:r>
        <w:rPr>
          <w:color w:val="auto"/>
          <w:w w:val="95"/>
          <w:sz w:val="28"/>
        </w:rPr>
        <w:t>资格审查条件(财务最低要求)</w:t>
      </w:r>
    </w:p>
    <w:p>
      <w:pPr>
        <w:tabs>
          <w:tab w:val="left" w:pos="3674"/>
        </w:tabs>
        <w:spacing w:before="192"/>
        <w:ind w:left="2624"/>
        <w:rPr>
          <w:color w:val="auto"/>
          <w:w w:val="95"/>
          <w:sz w:val="28"/>
        </w:rPr>
      </w:pPr>
    </w:p>
    <w:p>
      <w:pPr>
        <w:pStyle w:val="13"/>
        <w:rPr>
          <w:color w:val="auto"/>
          <w:sz w:val="20"/>
        </w:rPr>
      </w:pPr>
    </w:p>
    <w:p>
      <w:pPr>
        <w:pStyle w:val="13"/>
        <w:rPr>
          <w:color w:val="auto"/>
          <w:sz w:val="20"/>
        </w:rPr>
      </w:pPr>
    </w:p>
    <w:tbl>
      <w:tblPr>
        <w:tblStyle w:val="26"/>
        <w:tblW w:w="9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9880" w:type="dxa"/>
            <w:vAlign w:val="center"/>
          </w:tcPr>
          <w:p>
            <w:pPr>
              <w:pStyle w:val="13"/>
              <w:jc w:val="center"/>
              <w:rPr>
                <w:rFonts w:hint="default" w:eastAsia="宋体"/>
                <w:color w:val="auto"/>
                <w:sz w:val="17"/>
                <w:vertAlign w:val="baseline"/>
                <w:lang w:val="en-US" w:eastAsia="zh-CN"/>
              </w:rPr>
            </w:pPr>
            <w:r>
              <w:rPr>
                <w:rFonts w:hint="eastAsia" w:ascii="宋体" w:hAnsi="宋体" w:eastAsia="宋体" w:cs="宋体"/>
                <w:color w:val="auto"/>
                <w:sz w:val="28"/>
                <w:szCs w:val="24"/>
                <w:highlight w:val="none"/>
                <w:lang w:val="en-US" w:eastAsia="zh-CN" w:bidi="zh-CN"/>
              </w:rPr>
              <w:t>财务要求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2" w:hRule="atLeast"/>
        </w:trPr>
        <w:tc>
          <w:tcPr>
            <w:tcW w:w="9880" w:type="dxa"/>
            <w:vAlign w:val="center"/>
          </w:tcPr>
          <w:p>
            <w:pPr>
              <w:numPr>
                <w:ilvl w:val="0"/>
                <w:numId w:val="0"/>
              </w:numPr>
              <w:jc w:val="center"/>
              <w:rPr>
                <w:rFonts w:hint="eastAsia"/>
                <w:color w:val="auto"/>
                <w:sz w:val="24"/>
                <w:highlight w:val="none"/>
                <w:lang w:val="en-US" w:eastAsia="zh-CN"/>
              </w:rPr>
            </w:pPr>
          </w:p>
          <w:p>
            <w:pPr>
              <w:numPr>
                <w:ilvl w:val="0"/>
                <w:numId w:val="0"/>
              </w:numPr>
              <w:ind w:firstLine="280" w:firstLineChars="100"/>
              <w:jc w:val="both"/>
              <w:rPr>
                <w:color w:val="auto"/>
                <w:sz w:val="28"/>
                <w:szCs w:val="24"/>
                <w:highlight w:val="none"/>
                <w:lang w:val="en-US"/>
              </w:rPr>
            </w:pPr>
            <w:r>
              <w:rPr>
                <w:rFonts w:hint="eastAsia"/>
                <w:color w:val="auto"/>
                <w:sz w:val="28"/>
                <w:szCs w:val="24"/>
                <w:highlight w:val="none"/>
                <w:lang w:val="en-US" w:eastAsia="zh-CN"/>
              </w:rPr>
              <w:t>1、企业</w:t>
            </w:r>
            <w:r>
              <w:rPr>
                <w:rFonts w:hint="eastAsia"/>
                <w:color w:val="auto"/>
                <w:sz w:val="28"/>
                <w:szCs w:val="24"/>
                <w:highlight w:val="none"/>
                <w:lang w:val="en-US"/>
              </w:rPr>
              <w:t>净资产（总资产-总负债）不少于</w:t>
            </w:r>
            <w:r>
              <w:rPr>
                <w:rFonts w:hint="eastAsia"/>
                <w:color w:val="auto"/>
                <w:sz w:val="28"/>
                <w:szCs w:val="24"/>
                <w:highlight w:val="none"/>
                <w:lang w:val="en-US" w:eastAsia="zh-CN"/>
              </w:rPr>
              <w:t>600</w:t>
            </w:r>
            <w:r>
              <w:rPr>
                <w:rFonts w:hint="eastAsia"/>
                <w:color w:val="auto"/>
                <w:sz w:val="28"/>
                <w:szCs w:val="24"/>
                <w:highlight w:val="none"/>
                <w:lang w:val="en-US"/>
              </w:rPr>
              <w:t>万元人民币；</w:t>
            </w:r>
          </w:p>
          <w:p>
            <w:pPr>
              <w:numPr>
                <w:ilvl w:val="0"/>
                <w:numId w:val="0"/>
              </w:numPr>
              <w:ind w:firstLine="280" w:firstLineChars="100"/>
              <w:jc w:val="both"/>
              <w:rPr>
                <w:color w:val="auto"/>
                <w:sz w:val="28"/>
                <w:szCs w:val="24"/>
                <w:highlight w:val="none"/>
                <w:lang w:val="en-US"/>
              </w:rPr>
            </w:pPr>
            <w:r>
              <w:rPr>
                <w:rFonts w:hint="eastAsia"/>
                <w:color w:val="auto"/>
                <w:sz w:val="28"/>
                <w:szCs w:val="24"/>
                <w:highlight w:val="none"/>
                <w:lang w:val="en-US" w:eastAsia="zh-CN"/>
              </w:rPr>
              <w:t>2、</w:t>
            </w:r>
            <w:r>
              <w:rPr>
                <w:rFonts w:hint="eastAsia"/>
                <w:color w:val="auto"/>
                <w:sz w:val="28"/>
                <w:szCs w:val="24"/>
                <w:highlight w:val="none"/>
                <w:lang w:val="en-US"/>
              </w:rPr>
              <w:t>营运资金（流动资产-流动负债）不少于</w:t>
            </w:r>
            <w:r>
              <w:rPr>
                <w:rFonts w:hint="eastAsia"/>
                <w:color w:val="auto"/>
                <w:sz w:val="28"/>
                <w:szCs w:val="24"/>
                <w:highlight w:val="none"/>
                <w:lang w:val="en-US" w:eastAsia="zh-CN"/>
              </w:rPr>
              <w:t>800</w:t>
            </w:r>
            <w:r>
              <w:rPr>
                <w:rFonts w:hint="eastAsia"/>
                <w:color w:val="auto"/>
                <w:sz w:val="28"/>
                <w:szCs w:val="24"/>
                <w:highlight w:val="none"/>
                <w:lang w:val="en-US"/>
              </w:rPr>
              <w:t>万元人民币；</w:t>
            </w:r>
          </w:p>
          <w:p>
            <w:pPr>
              <w:numPr>
                <w:ilvl w:val="0"/>
                <w:numId w:val="0"/>
              </w:numPr>
              <w:ind w:firstLine="280" w:firstLineChars="100"/>
              <w:jc w:val="both"/>
              <w:rPr>
                <w:rFonts w:hint="eastAsia"/>
                <w:color w:val="auto"/>
                <w:sz w:val="28"/>
                <w:szCs w:val="24"/>
                <w:highlight w:val="none"/>
                <w:lang w:val="en-US" w:eastAsia="zh-CN"/>
              </w:rPr>
            </w:pPr>
            <w:r>
              <w:rPr>
                <w:rFonts w:hint="eastAsia"/>
                <w:color w:val="auto"/>
                <w:sz w:val="28"/>
                <w:szCs w:val="24"/>
                <w:highlight w:val="none"/>
                <w:lang w:val="en-US" w:eastAsia="zh-CN"/>
              </w:rPr>
              <w:t>3、</w:t>
            </w:r>
            <w:r>
              <w:rPr>
                <w:rFonts w:hint="eastAsia"/>
                <w:color w:val="auto"/>
                <w:sz w:val="28"/>
                <w:szCs w:val="24"/>
                <w:highlight w:val="none"/>
                <w:lang w:val="en-US"/>
              </w:rPr>
              <w:t>最近三个年度的平均营业总收入不少于</w:t>
            </w:r>
            <w:r>
              <w:rPr>
                <w:rFonts w:hint="eastAsia"/>
                <w:color w:val="auto"/>
                <w:sz w:val="28"/>
                <w:szCs w:val="24"/>
                <w:highlight w:val="none"/>
                <w:lang w:val="en-US" w:eastAsia="zh-CN"/>
              </w:rPr>
              <w:t>800</w:t>
            </w:r>
            <w:r>
              <w:rPr>
                <w:rFonts w:hint="eastAsia"/>
                <w:color w:val="auto"/>
                <w:sz w:val="28"/>
                <w:szCs w:val="24"/>
                <w:highlight w:val="none"/>
                <w:lang w:val="en-US"/>
              </w:rPr>
              <w:t>万元人民币；</w:t>
            </w:r>
          </w:p>
          <w:p>
            <w:pPr>
              <w:numPr>
                <w:ilvl w:val="0"/>
                <w:numId w:val="0"/>
              </w:numPr>
              <w:ind w:firstLine="280" w:firstLineChars="100"/>
              <w:jc w:val="both"/>
              <w:rPr>
                <w:rFonts w:hint="eastAsia" w:ascii="宋体" w:hAnsi="宋体" w:eastAsia="宋体" w:cs="宋体"/>
                <w:color w:val="auto"/>
                <w:sz w:val="28"/>
                <w:szCs w:val="24"/>
                <w:highlight w:val="none"/>
                <w:lang w:val="en-US" w:eastAsia="zh-CN"/>
              </w:rPr>
            </w:pPr>
            <w:r>
              <w:rPr>
                <w:rFonts w:hint="eastAsia" w:ascii="宋体" w:hAnsi="宋体" w:eastAsia="宋体" w:cs="宋体"/>
                <w:color w:val="auto"/>
                <w:sz w:val="28"/>
                <w:szCs w:val="24"/>
                <w:highlight w:val="none"/>
                <w:lang w:val="en-US" w:eastAsia="zh-CN"/>
              </w:rPr>
              <w:t>4、</w:t>
            </w:r>
            <w:r>
              <w:rPr>
                <w:rFonts w:hint="eastAsia" w:ascii="宋体" w:hAnsi="宋体" w:eastAsia="宋体" w:cs="宋体"/>
                <w:color w:val="auto"/>
                <w:sz w:val="28"/>
                <w:szCs w:val="24"/>
                <w:highlight w:val="none"/>
                <w:lang w:val="en-US"/>
              </w:rPr>
              <w:t>最近三个年度（</w:t>
            </w:r>
            <w:r>
              <w:rPr>
                <w:rFonts w:hint="eastAsia" w:cs="宋体"/>
                <w:color w:val="auto"/>
                <w:sz w:val="28"/>
                <w:szCs w:val="24"/>
                <w:highlight w:val="none"/>
                <w:lang w:val="en-US" w:eastAsia="zh-CN"/>
              </w:rPr>
              <w:t>2021</w:t>
            </w:r>
            <w:r>
              <w:rPr>
                <w:rFonts w:hint="eastAsia" w:ascii="宋体" w:hAnsi="宋体" w:eastAsia="宋体" w:cs="宋体"/>
                <w:color w:val="auto"/>
                <w:sz w:val="28"/>
                <w:szCs w:val="24"/>
                <w:highlight w:val="none"/>
                <w:lang w:val="en-US"/>
              </w:rPr>
              <w:t>年至202</w:t>
            </w:r>
            <w:r>
              <w:rPr>
                <w:rFonts w:hint="eastAsia" w:cs="宋体"/>
                <w:color w:val="auto"/>
                <w:sz w:val="28"/>
                <w:szCs w:val="24"/>
                <w:highlight w:val="none"/>
                <w:lang w:val="en-US" w:eastAsia="zh-CN"/>
              </w:rPr>
              <w:t>3</w:t>
            </w:r>
            <w:r>
              <w:rPr>
                <w:rFonts w:hint="eastAsia" w:ascii="宋体" w:hAnsi="宋体" w:eastAsia="宋体" w:cs="宋体"/>
                <w:color w:val="auto"/>
                <w:sz w:val="28"/>
                <w:szCs w:val="24"/>
                <w:highlight w:val="none"/>
                <w:lang w:val="en-US"/>
              </w:rPr>
              <w:t>年）均无亏损且资产负债率均低于</w:t>
            </w:r>
            <w:r>
              <w:rPr>
                <w:rFonts w:hint="eastAsia" w:cs="宋体"/>
                <w:color w:val="auto"/>
                <w:sz w:val="28"/>
                <w:szCs w:val="24"/>
                <w:highlight w:val="none"/>
                <w:lang w:val="en-US" w:eastAsia="zh-CN"/>
              </w:rPr>
              <w:t>30</w:t>
            </w:r>
            <w:r>
              <w:rPr>
                <w:rFonts w:hint="eastAsia" w:ascii="宋体" w:hAnsi="宋体" w:eastAsia="宋体" w:cs="宋体"/>
                <w:color w:val="auto"/>
                <w:sz w:val="28"/>
                <w:szCs w:val="24"/>
                <w:highlight w:val="none"/>
                <w:lang w:val="en-US"/>
              </w:rPr>
              <w:t>%；</w:t>
            </w:r>
          </w:p>
          <w:p>
            <w:pPr>
              <w:pStyle w:val="13"/>
              <w:jc w:val="center"/>
              <w:rPr>
                <w:color w:val="auto"/>
                <w:sz w:val="17"/>
                <w:vertAlign w:val="baseline"/>
              </w:rPr>
            </w:pPr>
          </w:p>
        </w:tc>
      </w:tr>
    </w:tbl>
    <w:p>
      <w:pPr>
        <w:pStyle w:val="13"/>
        <w:rPr>
          <w:color w:val="auto"/>
          <w:sz w:val="17"/>
        </w:rPr>
      </w:pPr>
    </w:p>
    <w:p>
      <w:pPr>
        <w:spacing w:before="60"/>
        <w:ind w:firstLine="480" w:firstLineChars="200"/>
        <w:rPr>
          <w:color w:val="auto"/>
          <w:sz w:val="44"/>
          <w:szCs w:val="36"/>
        </w:rPr>
      </w:pPr>
      <w:r>
        <w:rPr>
          <w:rFonts w:hint="eastAsia"/>
          <w:color w:val="auto"/>
          <w:sz w:val="24"/>
          <w:szCs w:val="28"/>
          <w:lang w:val="en-US" w:eastAsia="zh-CN"/>
        </w:rPr>
        <w:t>1、2021-2023年度财务信息以投标人提供的“全国公路建设市场信用信息管理系统”企业所填的信息截图或经会计师事务所或审计机构审计的审计报告复印件，审计报告应包括资产负债表、现金流量表、利润表的复印件，具体年份要求见投标人须知前附表。</w:t>
      </w:r>
    </w:p>
    <w:p>
      <w:pPr>
        <w:rPr>
          <w:color w:val="auto"/>
          <w:sz w:val="28"/>
        </w:rPr>
      </w:pPr>
      <w:r>
        <w:rPr>
          <w:color w:val="auto"/>
          <w:sz w:val="28"/>
        </w:rPr>
        <w:br w:type="page"/>
      </w:r>
    </w:p>
    <w:p>
      <w:pPr>
        <w:spacing w:before="60"/>
        <w:rPr>
          <w:color w:val="auto"/>
          <w:sz w:val="28"/>
        </w:rPr>
      </w:pPr>
    </w:p>
    <w:p>
      <w:pPr>
        <w:spacing w:before="60"/>
        <w:ind w:left="2694"/>
        <w:rPr>
          <w:color w:val="auto"/>
          <w:sz w:val="28"/>
        </w:rPr>
      </w:pPr>
    </w:p>
    <w:p>
      <w:pPr>
        <w:spacing w:before="60"/>
        <w:ind w:left="2694"/>
        <w:rPr>
          <w:color w:val="auto"/>
          <w:sz w:val="28"/>
        </w:rPr>
      </w:pPr>
    </w:p>
    <w:p>
      <w:pPr>
        <w:spacing w:before="60"/>
        <w:ind w:left="2694"/>
        <w:rPr>
          <w:color w:val="auto"/>
          <w:sz w:val="28"/>
        </w:rPr>
      </w:pPr>
    </w:p>
    <w:p>
      <w:pPr>
        <w:spacing w:before="60"/>
        <w:ind w:left="2694"/>
        <w:rPr>
          <w:color w:val="auto"/>
          <w:sz w:val="28"/>
        </w:rPr>
      </w:pPr>
      <w:r>
        <w:rPr>
          <w:color w:val="auto"/>
          <w:sz w:val="28"/>
        </w:rPr>
        <w:t>附录3资格审查条件(业绩最低要求)</w:t>
      </w:r>
    </w:p>
    <w:p>
      <w:pPr>
        <w:spacing w:before="60"/>
        <w:ind w:left="2694"/>
        <w:rPr>
          <w:color w:val="auto"/>
          <w:sz w:val="28"/>
        </w:rPr>
      </w:pPr>
    </w:p>
    <w:tbl>
      <w:tblPr>
        <w:tblStyle w:val="26"/>
        <w:tblW w:w="9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trPr>
        <w:tc>
          <w:tcPr>
            <w:tcW w:w="9880" w:type="dxa"/>
            <w:vAlign w:val="center"/>
          </w:tcPr>
          <w:p>
            <w:pPr>
              <w:spacing w:before="60"/>
              <w:jc w:val="center"/>
              <w:rPr>
                <w:rFonts w:hint="default" w:eastAsia="宋体"/>
                <w:color w:val="auto"/>
                <w:sz w:val="28"/>
                <w:szCs w:val="28"/>
                <w:vertAlign w:val="baseline"/>
                <w:lang w:val="en-US" w:eastAsia="zh-CN"/>
              </w:rPr>
            </w:pPr>
            <w:r>
              <w:rPr>
                <w:rFonts w:hint="eastAsia"/>
                <w:color w:val="auto"/>
                <w:sz w:val="28"/>
                <w:szCs w:val="28"/>
                <w:vertAlign w:val="baseline"/>
                <w:lang w:val="en-US" w:eastAsia="zh-CN"/>
              </w:rPr>
              <w:t>业绩要求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0" w:hRule="atLeast"/>
        </w:trPr>
        <w:tc>
          <w:tcPr>
            <w:tcW w:w="9880" w:type="dxa"/>
            <w:vAlign w:val="center"/>
          </w:tcPr>
          <w:p>
            <w:pPr>
              <w:spacing w:before="148"/>
              <w:ind w:firstLine="560" w:firstLineChars="200"/>
              <w:jc w:val="left"/>
              <w:rPr>
                <w:color w:val="auto"/>
                <w:sz w:val="28"/>
                <w:szCs w:val="28"/>
                <w:vertAlign w:val="baseline"/>
              </w:rPr>
            </w:pPr>
            <w:r>
              <w:rPr>
                <w:rFonts w:hint="eastAsia" w:cs="宋体"/>
                <w:color w:val="auto"/>
                <w:sz w:val="28"/>
                <w:szCs w:val="28"/>
                <w:highlight w:val="none"/>
                <w:lang w:val="en-US" w:eastAsia="zh-CN"/>
              </w:rPr>
              <w:t>2</w:t>
            </w:r>
            <w:r>
              <w:rPr>
                <w:rFonts w:hint="eastAsia" w:ascii="宋体" w:hAnsi="宋体" w:eastAsia="宋体" w:cs="宋体"/>
                <w:color w:val="auto"/>
                <w:sz w:val="28"/>
                <w:szCs w:val="28"/>
                <w:highlight w:val="none"/>
                <w:lang w:val="en-US" w:eastAsia="zh-CN"/>
              </w:rPr>
              <w:t>019年1月1日至投标截止时间承担过一项建设规模不少于</w:t>
            </w:r>
            <w:r>
              <w:rPr>
                <w:rFonts w:hint="eastAsia" w:cs="宋体"/>
                <w:color w:val="auto"/>
                <w:sz w:val="28"/>
                <w:szCs w:val="28"/>
                <w:highlight w:val="none"/>
                <w:lang w:val="en-US" w:eastAsia="zh-CN"/>
              </w:rPr>
              <w:t>2</w:t>
            </w:r>
            <w:r>
              <w:rPr>
                <w:rFonts w:hint="eastAsia" w:ascii="宋体" w:hAnsi="宋体" w:eastAsia="宋体" w:cs="宋体"/>
                <w:color w:val="auto"/>
                <w:sz w:val="28"/>
                <w:szCs w:val="28"/>
                <w:highlight w:val="none"/>
                <w:lang w:val="en-US" w:eastAsia="zh-CN"/>
              </w:rPr>
              <w:t>KM的公路工程类（新建、改建、扩建、路面改造、路面大修等以公路标准设计施工建设）项目业绩。（业绩须提供“全国公路建设市场信用信息管理系统”网页截图或提供县级或县级以上公共资源交易中心盖章的中标通知书复印件、施工合同关键页证明复印件，时间和规模以“全国公路建设市场信用信息管理系统”上显示的开工日期或施工合同签订的时间及规模为准。本工程建设单位将核对业绩证明材料的真实性，如发现弄虚作假，将记入不良行为，在媒体上公告，已中标的取消中标资格）</w:t>
            </w:r>
          </w:p>
        </w:tc>
      </w:tr>
    </w:tbl>
    <w:p>
      <w:pPr>
        <w:spacing w:before="60"/>
        <w:ind w:left="2694"/>
        <w:rPr>
          <w:color w:val="auto"/>
          <w:sz w:val="28"/>
        </w:rPr>
      </w:pPr>
    </w:p>
    <w:p>
      <w:pPr>
        <w:pStyle w:val="13"/>
        <w:spacing w:before="4"/>
        <w:rPr>
          <w:rFonts w:hint="eastAsia" w:ascii="宋体" w:hAnsi="宋体" w:eastAsia="宋体" w:cs="宋体"/>
          <w:color w:val="auto"/>
          <w:sz w:val="28"/>
          <w:szCs w:val="28"/>
          <w:highlight w:val="none"/>
          <w:lang w:val="en-US" w:eastAsia="zh-CN" w:bidi="zh-CN"/>
        </w:rPr>
      </w:pPr>
      <w:r>
        <w:rPr>
          <w:rFonts w:hint="eastAsia" w:ascii="宋体" w:hAnsi="宋体" w:eastAsia="宋体" w:cs="宋体"/>
          <w:color w:val="auto"/>
          <w:sz w:val="28"/>
          <w:szCs w:val="28"/>
          <w:highlight w:val="none"/>
          <w:lang w:val="en-US" w:eastAsia="zh-CN" w:bidi="zh-CN"/>
        </w:rPr>
        <w:t>注：本附录所要求的业绩仅限中华人民共和国境内业绩</w:t>
      </w:r>
      <w:r>
        <w:rPr>
          <w:rFonts w:hint="eastAsia" w:cs="宋体"/>
          <w:color w:val="auto"/>
          <w:sz w:val="28"/>
          <w:szCs w:val="28"/>
          <w:highlight w:val="none"/>
          <w:lang w:val="en-US" w:eastAsia="zh-CN" w:bidi="zh-CN"/>
        </w:rPr>
        <w:t>，</w:t>
      </w:r>
      <w:r>
        <w:rPr>
          <w:rFonts w:hint="eastAsia" w:ascii="宋体" w:hAnsi="宋体" w:eastAsia="宋体" w:cs="宋体"/>
          <w:color w:val="auto"/>
          <w:sz w:val="28"/>
          <w:szCs w:val="28"/>
          <w:highlight w:val="none"/>
          <w:lang w:val="en-US" w:eastAsia="zh-CN"/>
        </w:rPr>
        <w:t>业绩须提供“全国公路建设市场信用信息管理系统”网页截图或</w:t>
      </w:r>
      <w:r>
        <w:rPr>
          <w:rFonts w:hint="eastAsia" w:cs="宋体"/>
          <w:color w:val="auto"/>
          <w:sz w:val="28"/>
          <w:szCs w:val="28"/>
          <w:highlight w:val="none"/>
          <w:lang w:val="en-US" w:eastAsia="zh-CN" w:bidi="zh-CN"/>
        </w:rPr>
        <w:t>提供</w:t>
      </w:r>
      <w:r>
        <w:rPr>
          <w:rFonts w:hint="eastAsia"/>
          <w:color w:val="auto"/>
          <w:sz w:val="28"/>
          <w:szCs w:val="28"/>
          <w:highlight w:val="none"/>
          <w:lang w:val="en-US" w:eastAsia="zh-CN"/>
        </w:rPr>
        <w:t>县级或县级以上公共资源交易中心盖章的中标通知书复印件、施工合同关键页证明复印件</w:t>
      </w:r>
      <w:r>
        <w:rPr>
          <w:rFonts w:hint="eastAsia" w:ascii="宋体" w:hAnsi="宋体" w:eastAsia="宋体" w:cs="宋体"/>
          <w:color w:val="auto"/>
          <w:sz w:val="28"/>
          <w:szCs w:val="28"/>
          <w:highlight w:val="none"/>
          <w:lang w:val="en-US" w:eastAsia="zh-CN" w:bidi="zh-CN"/>
        </w:rPr>
        <w:t>。</w:t>
      </w:r>
    </w:p>
    <w:p>
      <w:pPr>
        <w:pStyle w:val="13"/>
        <w:spacing w:before="4"/>
        <w:rPr>
          <w:rFonts w:hint="eastAsia" w:ascii="宋体" w:hAnsi="宋体" w:eastAsia="宋体" w:cs="宋体"/>
          <w:color w:val="auto"/>
          <w:sz w:val="28"/>
          <w:szCs w:val="28"/>
          <w:highlight w:val="none"/>
          <w:lang w:val="en-US" w:eastAsia="zh-CN" w:bidi="zh-CN"/>
        </w:rPr>
      </w:pPr>
    </w:p>
    <w:p>
      <w:pPr>
        <w:rPr>
          <w:rFonts w:hint="default" w:eastAsia="宋体"/>
          <w:color w:val="auto"/>
          <w:sz w:val="14"/>
          <w:lang w:val="en-US" w:eastAsia="zh-CN"/>
        </w:rPr>
        <w:sectPr>
          <w:footerReference r:id="rId10" w:type="default"/>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spacing w:before="7"/>
        <w:rPr>
          <w:color w:val="auto"/>
          <w:sz w:val="20"/>
        </w:rPr>
      </w:pPr>
    </w:p>
    <w:p>
      <w:pPr>
        <w:tabs>
          <w:tab w:val="left" w:pos="3901"/>
        </w:tabs>
        <w:spacing w:before="60"/>
        <w:ind w:left="2851"/>
        <w:rPr>
          <w:color w:val="auto"/>
          <w:sz w:val="28"/>
        </w:rPr>
      </w:pPr>
      <w:r>
        <w:rPr>
          <w:color w:val="auto"/>
          <w:sz w:val="28"/>
        </w:rPr>
        <w:t>附录4</w:t>
      </w:r>
      <w:r>
        <w:rPr>
          <w:color w:val="auto"/>
          <w:sz w:val="28"/>
        </w:rPr>
        <w:tab/>
      </w:r>
      <w:r>
        <w:rPr>
          <w:color w:val="auto"/>
          <w:sz w:val="28"/>
        </w:rPr>
        <w:t>资格审查条件(信誉最低要求)</w:t>
      </w:r>
    </w:p>
    <w:p>
      <w:pPr>
        <w:pStyle w:val="13"/>
        <w:rPr>
          <w:color w:val="auto"/>
          <w:sz w:val="20"/>
        </w:rPr>
      </w:pPr>
    </w:p>
    <w:p>
      <w:pPr>
        <w:pStyle w:val="13"/>
        <w:rPr>
          <w:color w:val="auto"/>
          <w:sz w:val="20"/>
        </w:rPr>
      </w:pP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trPr>
        <w:tc>
          <w:tcPr>
            <w:tcW w:w="9760" w:type="dxa"/>
            <w:vAlign w:val="center"/>
          </w:tcPr>
          <w:p>
            <w:pPr>
              <w:pStyle w:val="13"/>
              <w:jc w:val="center"/>
              <w:rPr>
                <w:rFonts w:hint="default" w:eastAsia="宋体"/>
                <w:color w:val="auto"/>
                <w:sz w:val="24"/>
                <w:szCs w:val="24"/>
                <w:vertAlign w:val="baseline"/>
                <w:lang w:val="en-US" w:eastAsia="zh-CN"/>
              </w:rPr>
            </w:pPr>
            <w:r>
              <w:rPr>
                <w:rFonts w:hint="eastAsia"/>
                <w:color w:val="auto"/>
                <w:sz w:val="28"/>
                <w:szCs w:val="28"/>
                <w:vertAlign w:val="baseline"/>
                <w:lang w:val="en-US" w:eastAsia="zh-CN"/>
              </w:rPr>
              <w:t>信誉要求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1" w:hRule="atLeast"/>
        </w:trPr>
        <w:tc>
          <w:tcPr>
            <w:tcW w:w="9760" w:type="dxa"/>
            <w:vAlign w:val="center"/>
          </w:tcPr>
          <w:p>
            <w:pPr>
              <w:pStyle w:val="12"/>
              <w:rPr>
                <w:color w:val="auto"/>
              </w:rPr>
            </w:pPr>
          </w:p>
          <w:p>
            <w:pPr>
              <w:pStyle w:val="13"/>
              <w:ind w:firstLine="480" w:firstLineChars="200"/>
              <w:jc w:val="left"/>
              <w:rPr>
                <w:rFonts w:hint="eastAsia"/>
                <w:color w:val="auto"/>
                <w:sz w:val="24"/>
                <w:szCs w:val="24"/>
                <w:lang w:val="en-US" w:eastAsia="zh-CN"/>
              </w:rPr>
            </w:pPr>
            <w:r>
              <w:rPr>
                <w:rFonts w:hint="default"/>
                <w:color w:val="auto"/>
                <w:sz w:val="24"/>
                <w:szCs w:val="24"/>
                <w:lang w:val="en-US" w:eastAsia="zh-CN"/>
              </w:rPr>
              <w:t>(1)在最新年度广东省公路工程从业单位</w:t>
            </w:r>
            <w:r>
              <w:rPr>
                <w:rFonts w:hint="eastAsia"/>
                <w:color w:val="auto"/>
                <w:sz w:val="24"/>
                <w:szCs w:val="24"/>
                <w:lang w:val="en-US" w:eastAsia="zh-CN"/>
              </w:rPr>
              <w:t>（</w:t>
            </w:r>
            <w:r>
              <w:rPr>
                <w:rFonts w:hint="default"/>
                <w:color w:val="auto"/>
                <w:sz w:val="24"/>
                <w:szCs w:val="24"/>
                <w:lang w:val="en-US" w:eastAsia="zh-CN"/>
              </w:rPr>
              <w:t>施工单位</w:t>
            </w:r>
            <w:r>
              <w:rPr>
                <w:rFonts w:hint="eastAsia"/>
                <w:color w:val="auto"/>
                <w:sz w:val="24"/>
                <w:szCs w:val="24"/>
                <w:lang w:val="en-US" w:eastAsia="zh-CN"/>
              </w:rPr>
              <w:t>）</w:t>
            </w:r>
            <w:r>
              <w:rPr>
                <w:rFonts w:hint="default"/>
                <w:color w:val="auto"/>
                <w:sz w:val="24"/>
                <w:szCs w:val="24"/>
                <w:lang w:val="en-US" w:eastAsia="zh-CN"/>
              </w:rPr>
              <w:t>信用评价</w:t>
            </w:r>
            <w:r>
              <w:rPr>
                <w:rFonts w:hint="eastAsia"/>
                <w:color w:val="auto"/>
                <w:sz w:val="24"/>
                <w:szCs w:val="24"/>
                <w:lang w:val="en-US" w:eastAsia="zh-CN"/>
              </w:rPr>
              <w:t>（</w:t>
            </w:r>
            <w:r>
              <w:rPr>
                <w:rFonts w:hint="default"/>
                <w:color w:val="auto"/>
                <w:sz w:val="24"/>
                <w:szCs w:val="24"/>
                <w:lang w:val="en-US" w:eastAsia="zh-CN"/>
              </w:rPr>
              <w:t>含无最新年度而上一年度有信用评价</w:t>
            </w:r>
            <w:r>
              <w:rPr>
                <w:rFonts w:hint="eastAsia"/>
                <w:color w:val="auto"/>
                <w:sz w:val="24"/>
                <w:szCs w:val="24"/>
                <w:lang w:val="en-US" w:eastAsia="zh-CN"/>
              </w:rPr>
              <w:t>）</w:t>
            </w:r>
            <w:r>
              <w:rPr>
                <w:rFonts w:hint="default"/>
                <w:color w:val="auto"/>
                <w:sz w:val="24"/>
                <w:szCs w:val="24"/>
                <w:lang w:val="en-US" w:eastAsia="zh-CN"/>
              </w:rPr>
              <w:t>中，信用等级未被评为D级，初次进入广东省的投标人，在最新年度的全国公路从业单位(施工企业)信用评价结果中未被评为D级。</w:t>
            </w:r>
          </w:p>
          <w:p>
            <w:pPr>
              <w:pStyle w:val="13"/>
              <w:ind w:firstLine="480" w:firstLineChars="200"/>
              <w:jc w:val="left"/>
              <w:rPr>
                <w:rFonts w:hint="default"/>
                <w:color w:val="auto"/>
                <w:sz w:val="24"/>
                <w:szCs w:val="24"/>
                <w:lang w:val="en-US" w:eastAsia="zh-CN"/>
              </w:rPr>
            </w:pPr>
            <w:r>
              <w:rPr>
                <w:rFonts w:hint="default"/>
                <w:color w:val="auto"/>
                <w:sz w:val="24"/>
                <w:szCs w:val="24"/>
                <w:lang w:val="en-US" w:eastAsia="zh-CN"/>
              </w:rPr>
              <w:t>(2)没有在“信用中国”网站(www.creditchina.gov.cn)中被列入失信被执行人名单。</w:t>
            </w:r>
          </w:p>
          <w:p>
            <w:pPr>
              <w:pStyle w:val="13"/>
              <w:jc w:val="left"/>
              <w:rPr>
                <w:rFonts w:hint="default"/>
                <w:color w:val="auto"/>
                <w:sz w:val="24"/>
                <w:szCs w:val="24"/>
                <w:lang w:val="en-US" w:eastAsia="zh-CN"/>
              </w:rPr>
            </w:pPr>
            <w:r>
              <w:rPr>
                <w:rFonts w:hint="default"/>
                <w:color w:val="auto"/>
                <w:sz w:val="24"/>
                <w:szCs w:val="24"/>
                <w:lang w:val="en-US" w:eastAsia="zh-CN"/>
              </w:rPr>
              <w:t>(提供在“信用中国”网站中未被列入失信被执行人名单的网页截图加盖单位章)。</w:t>
            </w:r>
          </w:p>
          <w:p>
            <w:pPr>
              <w:pStyle w:val="13"/>
              <w:ind w:firstLine="480" w:firstLineChars="200"/>
              <w:jc w:val="left"/>
              <w:rPr>
                <w:rFonts w:hint="default"/>
                <w:color w:val="auto"/>
                <w:sz w:val="24"/>
                <w:szCs w:val="24"/>
                <w:lang w:val="en-US" w:eastAsia="zh-CN"/>
              </w:rPr>
            </w:pPr>
            <w:r>
              <w:rPr>
                <w:rFonts w:hint="default"/>
                <w:color w:val="auto"/>
                <w:sz w:val="24"/>
                <w:szCs w:val="24"/>
                <w:lang w:val="en-US" w:eastAsia="zh-CN"/>
              </w:rPr>
              <w:t>(3)自20</w:t>
            </w:r>
            <w:r>
              <w:rPr>
                <w:rFonts w:hint="eastAsia"/>
                <w:color w:val="auto"/>
                <w:sz w:val="24"/>
                <w:szCs w:val="24"/>
                <w:lang w:val="en-US" w:eastAsia="zh-CN"/>
              </w:rPr>
              <w:t>19</w:t>
            </w:r>
            <w:r>
              <w:rPr>
                <w:rFonts w:hint="default"/>
                <w:color w:val="auto"/>
                <w:sz w:val="24"/>
                <w:szCs w:val="24"/>
                <w:lang w:val="en-US" w:eastAsia="zh-CN"/>
              </w:rPr>
              <w:t>年以来没有骗取中标或严重违约，经营中没有重大工程质量安全事故，单位、法定代表人、拟派的项目经理和项目总工均没有行贿犯罪记录。(提供承诺书)</w:t>
            </w:r>
          </w:p>
          <w:p>
            <w:pPr>
              <w:pStyle w:val="13"/>
              <w:ind w:firstLine="480" w:firstLineChars="200"/>
              <w:jc w:val="left"/>
              <w:rPr>
                <w:color w:val="auto"/>
                <w:sz w:val="24"/>
                <w:szCs w:val="24"/>
                <w:vertAlign w:val="baseline"/>
              </w:rPr>
            </w:pPr>
            <w:r>
              <w:rPr>
                <w:rFonts w:hint="default"/>
                <w:color w:val="auto"/>
                <w:sz w:val="24"/>
                <w:szCs w:val="24"/>
                <w:lang w:val="en-US" w:eastAsia="zh-CN"/>
              </w:rPr>
              <w:t>(4)已在国家企业信用信息公示系统登记，且在该系统中没有出现经营异常或经营异常信息</w:t>
            </w:r>
            <w:r>
              <w:rPr>
                <w:rFonts w:hint="eastAsia"/>
                <w:color w:val="auto"/>
                <w:sz w:val="24"/>
                <w:szCs w:val="24"/>
                <w:lang w:val="en-US" w:eastAsia="zh-CN"/>
              </w:rPr>
              <w:t>已</w:t>
            </w:r>
            <w:r>
              <w:rPr>
                <w:rFonts w:hint="default"/>
                <w:color w:val="auto"/>
                <w:sz w:val="24"/>
                <w:szCs w:val="24"/>
                <w:lang w:val="en-US" w:eastAsia="zh-CN"/>
              </w:rPr>
              <w:t>移出，2019年以来没有被列入</w:t>
            </w:r>
            <w:r>
              <w:rPr>
                <w:rFonts w:hint="eastAsia"/>
                <w:color w:val="auto"/>
                <w:sz w:val="24"/>
                <w:szCs w:val="24"/>
                <w:lang w:val="en-US" w:eastAsia="zh-CN"/>
              </w:rPr>
              <w:t>严</w:t>
            </w:r>
            <w:r>
              <w:rPr>
                <w:rFonts w:hint="default"/>
                <w:color w:val="auto"/>
                <w:sz w:val="24"/>
                <w:szCs w:val="24"/>
                <w:lang w:val="en-US" w:eastAsia="zh-CN"/>
              </w:rPr>
              <w:t>重违法失信企业名单(黑名单)等不良出录(提供国家企业信用信息公示系统中“列入经营异常名录信息”、“列入严重违法失信企业名单(黑名单)信息”二栏打印件加盖单位章)</w:t>
            </w:r>
          </w:p>
        </w:tc>
      </w:tr>
    </w:tbl>
    <w:p>
      <w:pPr>
        <w:pStyle w:val="13"/>
        <w:rPr>
          <w:color w:val="auto"/>
          <w:sz w:val="20"/>
        </w:rPr>
      </w:pPr>
    </w:p>
    <w:p>
      <w:pPr>
        <w:numPr>
          <w:ilvl w:val="0"/>
          <w:numId w:val="0"/>
        </w:numPr>
        <w:ind w:firstLine="240" w:firstLineChars="100"/>
        <w:jc w:val="left"/>
        <w:rPr>
          <w:rFonts w:hint="default"/>
          <w:color w:val="auto"/>
          <w:sz w:val="24"/>
          <w:szCs w:val="24"/>
          <w:lang w:val="en-US" w:eastAsia="zh-CN"/>
        </w:rPr>
      </w:pPr>
      <w:r>
        <w:rPr>
          <w:rFonts w:hint="default"/>
          <w:color w:val="auto"/>
          <w:sz w:val="24"/>
          <w:szCs w:val="24"/>
          <w:lang w:val="en-US" w:eastAsia="zh-CN"/>
        </w:rPr>
        <w:t>注：投标时出具相关证明或承诺证明书。</w:t>
      </w:r>
    </w:p>
    <w:p>
      <w:pPr>
        <w:pStyle w:val="13"/>
        <w:rPr>
          <w:color w:val="auto"/>
          <w:sz w:val="20"/>
        </w:rPr>
      </w:pPr>
    </w:p>
    <w:p>
      <w:pPr>
        <w:rPr>
          <w:color w:val="auto"/>
          <w:sz w:val="28"/>
        </w:rPr>
      </w:pPr>
      <w:r>
        <w:rPr>
          <w:color w:val="auto"/>
          <w:sz w:val="28"/>
        </w:rPr>
        <w:br w:type="page"/>
      </w:r>
    </w:p>
    <w:p>
      <w:pPr>
        <w:tabs>
          <w:tab w:val="left" w:pos="2695"/>
        </w:tabs>
        <w:spacing w:before="61"/>
        <w:ind w:left="1645"/>
        <w:rPr>
          <w:color w:val="auto"/>
          <w:sz w:val="28"/>
        </w:rPr>
      </w:pPr>
    </w:p>
    <w:p>
      <w:pPr>
        <w:tabs>
          <w:tab w:val="left" w:pos="2695"/>
        </w:tabs>
        <w:spacing w:before="61"/>
        <w:ind w:left="1645"/>
        <w:rPr>
          <w:color w:val="auto"/>
          <w:sz w:val="28"/>
        </w:rPr>
      </w:pPr>
    </w:p>
    <w:p>
      <w:pPr>
        <w:tabs>
          <w:tab w:val="left" w:pos="2695"/>
        </w:tabs>
        <w:spacing w:before="61"/>
        <w:ind w:left="1645"/>
        <w:rPr>
          <w:color w:val="auto"/>
          <w:sz w:val="28"/>
        </w:rPr>
      </w:pPr>
      <w:r>
        <w:rPr>
          <w:color w:val="auto"/>
          <w:sz w:val="28"/>
        </w:rPr>
        <w:t>附录5</w:t>
      </w:r>
      <w:r>
        <w:rPr>
          <w:color w:val="auto"/>
          <w:sz w:val="28"/>
        </w:rPr>
        <w:tab/>
      </w:r>
      <w:r>
        <w:rPr>
          <w:color w:val="auto"/>
          <w:sz w:val="28"/>
        </w:rPr>
        <w:t>资格审查条件(项目经理和项目总工最低要求)</w:t>
      </w:r>
    </w:p>
    <w:p>
      <w:pPr>
        <w:pStyle w:val="13"/>
        <w:rPr>
          <w:color w:val="auto"/>
          <w:sz w:val="20"/>
        </w:rPr>
      </w:pPr>
    </w:p>
    <w:p>
      <w:pPr>
        <w:numPr>
          <w:ilvl w:val="0"/>
          <w:numId w:val="0"/>
        </w:numPr>
        <w:rPr>
          <w:rFonts w:hint="default" w:cs="宋体"/>
          <w:color w:val="auto"/>
          <w:sz w:val="20"/>
          <w:szCs w:val="21"/>
          <w:lang w:val="en-US" w:eastAsia="zh-CN" w:bidi="zh-CN"/>
        </w:rPr>
      </w:pPr>
    </w:p>
    <w:p>
      <w:pPr>
        <w:numPr>
          <w:ilvl w:val="0"/>
          <w:numId w:val="0"/>
        </w:numPr>
        <w:rPr>
          <w:rFonts w:hint="default" w:cs="宋体"/>
          <w:color w:val="auto"/>
          <w:sz w:val="20"/>
          <w:szCs w:val="21"/>
          <w:lang w:val="en-US" w:eastAsia="zh-CN" w:bidi="zh-CN"/>
        </w:rPr>
      </w:pPr>
    </w:p>
    <w:tbl>
      <w:tblPr>
        <w:tblStyle w:val="25"/>
        <w:tblW w:w="91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4"/>
        <w:gridCol w:w="941"/>
        <w:gridCol w:w="3482"/>
        <w:gridCol w:w="26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2074" w:type="dxa"/>
            <w:vAlign w:val="center"/>
          </w:tcPr>
          <w:p>
            <w:pPr>
              <w:pStyle w:val="32"/>
              <w:tabs>
                <w:tab w:val="left" w:pos="487"/>
              </w:tabs>
              <w:spacing w:before="107"/>
              <w:ind w:left="7"/>
              <w:jc w:val="center"/>
              <w:rPr>
                <w:color w:val="auto"/>
                <w:sz w:val="24"/>
              </w:rPr>
            </w:pPr>
            <w:r>
              <w:rPr>
                <w:color w:val="auto"/>
                <w:sz w:val="24"/>
              </w:rPr>
              <w:t>人</w:t>
            </w:r>
            <w:r>
              <w:rPr>
                <w:color w:val="auto"/>
                <w:sz w:val="24"/>
              </w:rPr>
              <w:tab/>
            </w:r>
            <w:r>
              <w:rPr>
                <w:color w:val="auto"/>
                <w:sz w:val="24"/>
              </w:rPr>
              <w:t>员</w:t>
            </w:r>
          </w:p>
        </w:tc>
        <w:tc>
          <w:tcPr>
            <w:tcW w:w="941" w:type="dxa"/>
            <w:vAlign w:val="center"/>
          </w:tcPr>
          <w:p>
            <w:pPr>
              <w:pStyle w:val="32"/>
              <w:tabs>
                <w:tab w:val="left" w:pos="664"/>
              </w:tabs>
              <w:spacing w:before="107"/>
              <w:ind w:left="184"/>
              <w:jc w:val="both"/>
              <w:rPr>
                <w:color w:val="auto"/>
                <w:sz w:val="24"/>
              </w:rPr>
            </w:pPr>
            <w:r>
              <w:rPr>
                <w:color w:val="auto"/>
                <w:sz w:val="24"/>
              </w:rPr>
              <w:t>数量</w:t>
            </w:r>
          </w:p>
        </w:tc>
        <w:tc>
          <w:tcPr>
            <w:tcW w:w="3482" w:type="dxa"/>
            <w:vAlign w:val="center"/>
          </w:tcPr>
          <w:p>
            <w:pPr>
              <w:pStyle w:val="32"/>
              <w:spacing w:before="107"/>
              <w:ind w:left="181" w:right="174"/>
              <w:jc w:val="center"/>
              <w:rPr>
                <w:color w:val="auto"/>
                <w:sz w:val="24"/>
              </w:rPr>
            </w:pPr>
            <w:r>
              <w:rPr>
                <w:color w:val="auto"/>
                <w:sz w:val="24"/>
              </w:rPr>
              <w:t>资格要求</w:t>
            </w:r>
          </w:p>
        </w:tc>
        <w:tc>
          <w:tcPr>
            <w:tcW w:w="2603" w:type="dxa"/>
            <w:vAlign w:val="center"/>
          </w:tcPr>
          <w:p>
            <w:pPr>
              <w:pStyle w:val="32"/>
              <w:spacing w:before="107"/>
              <w:ind w:left="114" w:right="108"/>
              <w:jc w:val="center"/>
              <w:rPr>
                <w:color w:val="auto"/>
                <w:sz w:val="24"/>
              </w:rPr>
            </w:pPr>
            <w:r>
              <w:rPr>
                <w:color w:val="auto"/>
                <w:sz w:val="24"/>
              </w:rPr>
              <w:t>在岗要求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67" w:hRule="atLeast"/>
          <w:jc w:val="center"/>
        </w:trPr>
        <w:tc>
          <w:tcPr>
            <w:tcW w:w="2074" w:type="dxa"/>
            <w:vAlign w:val="center"/>
          </w:tcPr>
          <w:p>
            <w:pPr>
              <w:pStyle w:val="32"/>
              <w:spacing w:before="107" w:line="360" w:lineRule="auto"/>
              <w:ind w:left="7"/>
              <w:jc w:val="center"/>
              <w:rPr>
                <w:color w:val="auto"/>
                <w:sz w:val="24"/>
              </w:rPr>
            </w:pPr>
            <w:r>
              <w:rPr>
                <w:color w:val="auto"/>
                <w:sz w:val="24"/>
              </w:rPr>
              <w:t>项目经理</w:t>
            </w:r>
          </w:p>
        </w:tc>
        <w:tc>
          <w:tcPr>
            <w:tcW w:w="941" w:type="dxa"/>
          </w:tcPr>
          <w:p>
            <w:pPr>
              <w:pStyle w:val="32"/>
              <w:jc w:val="center"/>
              <w:rPr>
                <w:rFonts w:ascii="Times New Roman"/>
                <w:color w:val="auto"/>
                <w:sz w:val="24"/>
              </w:rPr>
            </w:pPr>
          </w:p>
          <w:p>
            <w:pPr>
              <w:jc w:val="center"/>
              <w:rPr>
                <w:rFonts w:ascii="Times New Roman"/>
                <w:color w:val="auto"/>
                <w:sz w:val="24"/>
                <w:lang w:val="en-US"/>
              </w:rPr>
            </w:pPr>
          </w:p>
          <w:p>
            <w:pPr>
              <w:jc w:val="center"/>
              <w:rPr>
                <w:rFonts w:ascii="Times New Roman"/>
                <w:color w:val="auto"/>
                <w:sz w:val="24"/>
                <w:lang w:val="en-US"/>
              </w:rPr>
            </w:pPr>
          </w:p>
          <w:p>
            <w:pPr>
              <w:jc w:val="center"/>
              <w:rPr>
                <w:rFonts w:ascii="Times New Roman"/>
                <w:color w:val="auto"/>
                <w:sz w:val="24"/>
                <w:lang w:val="en-US"/>
              </w:rPr>
            </w:pPr>
            <w:r>
              <w:rPr>
                <w:rFonts w:hint="eastAsia" w:ascii="Times New Roman"/>
                <w:color w:val="auto"/>
                <w:sz w:val="24"/>
                <w:lang w:val="en-US"/>
              </w:rPr>
              <w:t>1</w:t>
            </w:r>
          </w:p>
          <w:p>
            <w:pPr>
              <w:pStyle w:val="32"/>
              <w:jc w:val="center"/>
              <w:rPr>
                <w:rFonts w:ascii="Times New Roman"/>
                <w:color w:val="auto"/>
                <w:sz w:val="24"/>
              </w:rPr>
            </w:pPr>
          </w:p>
          <w:p>
            <w:pPr>
              <w:jc w:val="center"/>
              <w:rPr>
                <w:rFonts w:ascii="Times New Roman"/>
                <w:color w:val="auto"/>
                <w:sz w:val="24"/>
                <w:lang w:val="en-US"/>
              </w:rPr>
            </w:pPr>
          </w:p>
          <w:p>
            <w:pPr>
              <w:jc w:val="center"/>
              <w:rPr>
                <w:color w:val="auto"/>
                <w:lang w:val="en-US"/>
              </w:rPr>
            </w:pPr>
          </w:p>
          <w:p>
            <w:pPr>
              <w:rPr>
                <w:color w:val="auto"/>
                <w:sz w:val="2"/>
                <w:szCs w:val="2"/>
                <w:lang w:val="en-US"/>
              </w:rPr>
            </w:pPr>
            <w:r>
              <w:rPr>
                <w:rFonts w:hint="eastAsia"/>
                <w:color w:val="auto"/>
                <w:sz w:val="2"/>
                <w:szCs w:val="2"/>
                <w:lang w:val="en-US"/>
              </w:rPr>
              <w:t>1</w:t>
            </w:r>
          </w:p>
        </w:tc>
        <w:tc>
          <w:tcPr>
            <w:tcW w:w="3482" w:type="dxa"/>
            <w:vAlign w:val="center"/>
          </w:tcPr>
          <w:p>
            <w:pPr>
              <w:pStyle w:val="32"/>
              <w:ind w:left="107" w:right="-15"/>
              <w:jc w:val="left"/>
              <w:rPr>
                <w:rFonts w:hint="eastAsia" w:eastAsia="宋体"/>
                <w:color w:val="auto"/>
                <w:kern w:val="2"/>
                <w:sz w:val="21"/>
                <w:lang w:eastAsia="zh-CN"/>
              </w:rPr>
            </w:pPr>
            <w:r>
              <w:rPr>
                <w:rFonts w:hint="eastAsia" w:ascii="宋体" w:hAnsi="宋体" w:eastAsia="宋体" w:cs="宋体"/>
                <w:i w:val="0"/>
                <w:iCs w:val="0"/>
                <w:caps w:val="0"/>
                <w:color w:val="auto"/>
                <w:spacing w:val="0"/>
                <w:sz w:val="24"/>
                <w:szCs w:val="24"/>
                <w:shd w:val="clear" w:fill="FFFFFF"/>
              </w:rPr>
              <w:t>须具有公路工程专业二级或以上注册建造师</w:t>
            </w:r>
            <w:r>
              <w:rPr>
                <w:rFonts w:hint="eastAsia" w:cs="宋体"/>
                <w:i w:val="0"/>
                <w:iCs w:val="0"/>
                <w:caps w:val="0"/>
                <w:color w:val="auto"/>
                <w:spacing w:val="0"/>
                <w:sz w:val="24"/>
                <w:szCs w:val="24"/>
                <w:shd w:val="clear" w:fill="FFFFFF"/>
                <w:lang w:eastAsia="zh-CN"/>
              </w:rPr>
              <w:t>，</w:t>
            </w:r>
            <w:r>
              <w:rPr>
                <w:rFonts w:hint="eastAsia"/>
                <w:color w:val="auto"/>
                <w:sz w:val="24"/>
                <w:lang w:val="en-US" w:eastAsia="zh-CN"/>
              </w:rPr>
              <w:t>具有交通运输主管部门颁发的有效安全生产“三类人员”B类证书。</w:t>
            </w:r>
          </w:p>
        </w:tc>
        <w:tc>
          <w:tcPr>
            <w:tcW w:w="2603" w:type="dxa"/>
            <w:vMerge w:val="restart"/>
          </w:tcPr>
          <w:p>
            <w:pPr>
              <w:pStyle w:val="32"/>
              <w:spacing w:before="9"/>
              <w:rPr>
                <w:color w:val="auto"/>
                <w:sz w:val="18"/>
              </w:rPr>
            </w:pPr>
          </w:p>
          <w:p>
            <w:pPr>
              <w:pStyle w:val="32"/>
              <w:ind w:left="134"/>
              <w:rPr>
                <w:color w:val="auto"/>
                <w:sz w:val="24"/>
              </w:rPr>
            </w:pPr>
          </w:p>
          <w:p>
            <w:pPr>
              <w:pStyle w:val="32"/>
              <w:ind w:left="134"/>
              <w:rPr>
                <w:color w:val="auto"/>
                <w:sz w:val="24"/>
              </w:rPr>
            </w:pPr>
          </w:p>
          <w:p>
            <w:pPr>
              <w:pStyle w:val="32"/>
              <w:ind w:left="134"/>
              <w:rPr>
                <w:color w:val="auto"/>
                <w:sz w:val="24"/>
              </w:rPr>
            </w:pPr>
            <w:r>
              <w:rPr>
                <w:rFonts w:hint="eastAsia"/>
                <w:color w:val="auto"/>
                <w:sz w:val="24"/>
                <w:lang w:eastAsia="zh-CN"/>
              </w:rPr>
              <w:t>项目经理</w:t>
            </w:r>
            <w:r>
              <w:rPr>
                <w:color w:val="auto"/>
                <w:sz w:val="24"/>
              </w:rPr>
              <w:t>无在岗项目（指</w:t>
            </w:r>
            <w:r>
              <w:rPr>
                <w:rFonts w:hint="eastAsia"/>
                <w:color w:val="auto"/>
                <w:sz w:val="24"/>
                <w:lang w:eastAsia="zh-CN"/>
              </w:rPr>
              <w:t>投标日起</w:t>
            </w:r>
            <w:r>
              <w:rPr>
                <w:color w:val="auto"/>
                <w:sz w:val="24"/>
              </w:rPr>
              <w:t>未在其他项目上任职）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45" w:hRule="atLeast"/>
          <w:jc w:val="center"/>
        </w:trPr>
        <w:tc>
          <w:tcPr>
            <w:tcW w:w="2074" w:type="dxa"/>
            <w:tcBorders>
              <w:top w:val="single" w:color="auto" w:sz="4" w:space="0"/>
              <w:left w:val="single" w:color="auto" w:sz="4" w:space="0"/>
              <w:bottom w:val="single" w:color="auto" w:sz="4" w:space="0"/>
              <w:right w:val="single" w:color="auto" w:sz="4" w:space="0"/>
            </w:tcBorders>
            <w:vAlign w:val="center"/>
          </w:tcPr>
          <w:p>
            <w:pPr>
              <w:pStyle w:val="32"/>
              <w:spacing w:before="67" w:line="360" w:lineRule="auto"/>
              <w:ind w:left="7"/>
              <w:jc w:val="center"/>
              <w:rPr>
                <w:color w:val="auto"/>
                <w:sz w:val="24"/>
              </w:rPr>
            </w:pPr>
            <w:r>
              <w:rPr>
                <w:color w:val="auto"/>
                <w:sz w:val="24"/>
              </w:rPr>
              <w:t>项目总工</w:t>
            </w:r>
          </w:p>
        </w:tc>
        <w:tc>
          <w:tcPr>
            <w:tcW w:w="941" w:type="dxa"/>
          </w:tcPr>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ind w:firstLine="485"/>
              <w:rPr>
                <w:rFonts w:hint="eastAsia"/>
                <w:color w:val="auto"/>
                <w:sz w:val="24"/>
                <w:szCs w:val="24"/>
                <w:lang w:val="en-US"/>
              </w:rPr>
            </w:pPr>
          </w:p>
          <w:p>
            <w:pPr>
              <w:ind w:firstLine="485"/>
              <w:rPr>
                <w:color w:val="auto"/>
                <w:sz w:val="20"/>
                <w:szCs w:val="20"/>
                <w:lang w:val="en-US"/>
              </w:rPr>
            </w:pPr>
            <w:r>
              <w:rPr>
                <w:rFonts w:hint="eastAsia"/>
                <w:color w:val="auto"/>
                <w:sz w:val="24"/>
                <w:szCs w:val="24"/>
                <w:lang w:val="en-US"/>
              </w:rPr>
              <w:t>1</w:t>
            </w:r>
          </w:p>
        </w:tc>
        <w:tc>
          <w:tcPr>
            <w:tcW w:w="3482" w:type="dxa"/>
            <w:tcBorders>
              <w:top w:val="single" w:color="auto" w:sz="4" w:space="0"/>
              <w:left w:val="single" w:color="auto" w:sz="4" w:space="0"/>
              <w:bottom w:val="single" w:color="auto" w:sz="4" w:space="0"/>
              <w:right w:val="single" w:color="auto" w:sz="4" w:space="0"/>
            </w:tcBorders>
            <w:vAlign w:val="center"/>
          </w:tcPr>
          <w:p>
            <w:pPr>
              <w:pStyle w:val="32"/>
              <w:ind w:left="134"/>
              <w:rPr>
                <w:rFonts w:hint="eastAsia" w:eastAsia="宋体"/>
                <w:color w:val="auto"/>
                <w:sz w:val="21"/>
                <w:szCs w:val="21"/>
                <w:lang w:val="en-US" w:eastAsia="zh-CN"/>
              </w:rPr>
            </w:pPr>
            <w:r>
              <w:rPr>
                <w:rFonts w:hint="eastAsia"/>
                <w:color w:val="auto"/>
                <w:sz w:val="24"/>
                <w:lang w:val="en-US" w:eastAsia="zh-CN"/>
              </w:rPr>
              <w:t>具备路桥相关专业中级工程师或以上职称证书复印件。</w:t>
            </w:r>
          </w:p>
        </w:tc>
        <w:tc>
          <w:tcPr>
            <w:tcW w:w="2603" w:type="dxa"/>
            <w:vMerge w:val="continue"/>
          </w:tcPr>
          <w:p>
            <w:pPr>
              <w:pStyle w:val="32"/>
              <w:spacing w:before="188" w:line="248" w:lineRule="exact"/>
              <w:ind w:left="114" w:right="108"/>
              <w:jc w:val="center"/>
              <w:rPr>
                <w:color w:val="auto"/>
                <w:sz w:val="24"/>
              </w:rPr>
            </w:pPr>
          </w:p>
        </w:tc>
      </w:tr>
    </w:tbl>
    <w:p>
      <w:pPr>
        <w:numPr>
          <w:ilvl w:val="0"/>
          <w:numId w:val="0"/>
        </w:numPr>
        <w:rPr>
          <w:rFonts w:hint="default" w:cs="宋体"/>
          <w:color w:val="auto"/>
          <w:sz w:val="20"/>
          <w:szCs w:val="21"/>
          <w:lang w:val="en-US" w:eastAsia="zh-CN" w:bidi="zh-CN"/>
        </w:rPr>
      </w:pPr>
    </w:p>
    <w:p>
      <w:pPr>
        <w:keepNext w:val="0"/>
        <w:keepLines w:val="0"/>
        <w:widowControl/>
        <w:suppressLineNumbers w:val="0"/>
        <w:ind w:firstLine="240" w:firstLineChars="100"/>
        <w:jc w:val="left"/>
        <w:rPr>
          <w:rFonts w:hint="default"/>
          <w:color w:val="auto"/>
          <w:sz w:val="24"/>
          <w:szCs w:val="24"/>
          <w:lang w:val="en-US" w:eastAsia="zh-CN"/>
        </w:rPr>
      </w:pPr>
      <w:r>
        <w:rPr>
          <w:rFonts w:hint="eastAsia"/>
          <w:color w:val="auto"/>
          <w:sz w:val="24"/>
          <w:szCs w:val="24"/>
          <w:lang w:val="en-US" w:eastAsia="zh-CN"/>
        </w:rPr>
        <w:t>注：资格要求的人员提供证书复印件加盖公章和近3个月（不含开标当月）社保缴费证明复印件加盖公章（社保证明材料上需有社保部门印章），均在投标人所在单位，否则视为无效。</w:t>
      </w:r>
    </w:p>
    <w:p>
      <w:pPr>
        <w:rPr>
          <w:rFonts w:hint="eastAsia"/>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rPr>
          <w:rFonts w:hint="default"/>
          <w:color w:val="auto"/>
          <w:sz w:val="24"/>
          <w:szCs w:val="24"/>
          <w:lang w:val="en-US" w:eastAsia="zh-CN"/>
        </w:rPr>
      </w:pPr>
    </w:p>
    <w:p>
      <w:pPr>
        <w:pStyle w:val="29"/>
        <w:rPr>
          <w:rFonts w:hint="default"/>
          <w:color w:val="auto"/>
          <w:sz w:val="24"/>
          <w:szCs w:val="24"/>
          <w:lang w:val="en-US" w:eastAsia="zh-CN"/>
        </w:rPr>
      </w:pPr>
    </w:p>
    <w:p>
      <w:pPr>
        <w:tabs>
          <w:tab w:val="left" w:pos="2695"/>
        </w:tabs>
        <w:spacing w:before="61"/>
        <w:ind w:left="1645"/>
        <w:rPr>
          <w:color w:val="auto"/>
          <w:sz w:val="28"/>
        </w:rPr>
      </w:pPr>
      <w:r>
        <w:rPr>
          <w:color w:val="auto"/>
          <w:sz w:val="28"/>
        </w:rPr>
        <w:t>附录</w:t>
      </w:r>
      <w:r>
        <w:rPr>
          <w:rFonts w:hint="eastAsia"/>
          <w:color w:val="auto"/>
          <w:sz w:val="28"/>
          <w:lang w:val="en-US" w:eastAsia="zh-CN"/>
        </w:rPr>
        <w:t>6</w:t>
      </w:r>
      <w:r>
        <w:rPr>
          <w:color w:val="auto"/>
          <w:sz w:val="28"/>
        </w:rPr>
        <w:tab/>
      </w:r>
      <w:r>
        <w:rPr>
          <w:color w:val="auto"/>
          <w:sz w:val="28"/>
          <w:lang w:val="en-US" w:eastAsia="zh-CN"/>
        </w:rPr>
        <w:t>资格审查条件（其他管理和技术人员最低要求）</w:t>
      </w:r>
    </w:p>
    <w:p>
      <w:pPr>
        <w:numPr>
          <w:ilvl w:val="0"/>
          <w:numId w:val="0"/>
        </w:numPr>
        <w:rPr>
          <w:rFonts w:hint="default" w:cs="宋体"/>
          <w:color w:val="FF0000"/>
          <w:sz w:val="20"/>
          <w:szCs w:val="21"/>
          <w:lang w:val="en-US" w:eastAsia="zh-CN" w:bidi="zh-CN"/>
        </w:rPr>
      </w:pPr>
    </w:p>
    <w:p>
      <w:pPr>
        <w:numPr>
          <w:ilvl w:val="0"/>
          <w:numId w:val="0"/>
        </w:numPr>
        <w:rPr>
          <w:rFonts w:hint="default" w:cs="宋体"/>
          <w:color w:val="auto"/>
          <w:sz w:val="20"/>
          <w:szCs w:val="21"/>
          <w:lang w:val="en-US" w:eastAsia="zh-CN" w:bidi="zh-CN"/>
        </w:rPr>
      </w:pPr>
    </w:p>
    <w:tbl>
      <w:tblPr>
        <w:tblStyle w:val="25"/>
        <w:tblW w:w="83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4"/>
        <w:gridCol w:w="941"/>
        <w:gridCol w:w="53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2074" w:type="dxa"/>
            <w:vAlign w:val="center"/>
          </w:tcPr>
          <w:p>
            <w:pPr>
              <w:pStyle w:val="32"/>
              <w:tabs>
                <w:tab w:val="left" w:pos="487"/>
              </w:tabs>
              <w:spacing w:before="107"/>
              <w:ind w:left="7"/>
              <w:jc w:val="center"/>
              <w:rPr>
                <w:color w:val="auto"/>
                <w:sz w:val="24"/>
              </w:rPr>
            </w:pPr>
            <w:r>
              <w:rPr>
                <w:color w:val="auto"/>
                <w:sz w:val="24"/>
              </w:rPr>
              <w:t>人</w:t>
            </w:r>
            <w:r>
              <w:rPr>
                <w:color w:val="auto"/>
                <w:sz w:val="24"/>
              </w:rPr>
              <w:tab/>
            </w:r>
            <w:r>
              <w:rPr>
                <w:color w:val="auto"/>
                <w:sz w:val="24"/>
              </w:rPr>
              <w:t>员</w:t>
            </w:r>
          </w:p>
        </w:tc>
        <w:tc>
          <w:tcPr>
            <w:tcW w:w="941" w:type="dxa"/>
            <w:vAlign w:val="center"/>
          </w:tcPr>
          <w:p>
            <w:pPr>
              <w:pStyle w:val="32"/>
              <w:tabs>
                <w:tab w:val="left" w:pos="664"/>
              </w:tabs>
              <w:spacing w:before="107"/>
              <w:ind w:left="184"/>
              <w:jc w:val="both"/>
              <w:rPr>
                <w:color w:val="auto"/>
                <w:sz w:val="24"/>
              </w:rPr>
            </w:pPr>
            <w:r>
              <w:rPr>
                <w:color w:val="auto"/>
                <w:sz w:val="24"/>
              </w:rPr>
              <w:t>数量</w:t>
            </w:r>
          </w:p>
        </w:tc>
        <w:tc>
          <w:tcPr>
            <w:tcW w:w="5303" w:type="dxa"/>
            <w:vAlign w:val="center"/>
          </w:tcPr>
          <w:p>
            <w:pPr>
              <w:pStyle w:val="32"/>
              <w:spacing w:before="107"/>
              <w:ind w:left="181" w:right="174"/>
              <w:jc w:val="center"/>
              <w:rPr>
                <w:color w:val="auto"/>
                <w:sz w:val="24"/>
              </w:rPr>
            </w:pPr>
            <w:r>
              <w:rPr>
                <w:color w:val="auto"/>
                <w:sz w:val="24"/>
              </w:rPr>
              <w:t>资格要求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5" w:hRule="atLeast"/>
          <w:jc w:val="center"/>
        </w:trPr>
        <w:tc>
          <w:tcPr>
            <w:tcW w:w="2074" w:type="dxa"/>
            <w:tcBorders>
              <w:top w:val="single" w:color="auto" w:sz="4" w:space="0"/>
              <w:left w:val="single" w:color="auto" w:sz="4" w:space="0"/>
              <w:bottom w:val="single" w:color="auto" w:sz="4" w:space="0"/>
              <w:right w:val="single" w:color="auto" w:sz="4" w:space="0"/>
            </w:tcBorders>
            <w:vAlign w:val="center"/>
          </w:tcPr>
          <w:p>
            <w:pPr>
              <w:pStyle w:val="32"/>
              <w:spacing w:before="67" w:line="360" w:lineRule="auto"/>
              <w:ind w:left="7"/>
              <w:jc w:val="center"/>
              <w:rPr>
                <w:rFonts w:hint="eastAsia" w:eastAsia="宋体"/>
                <w:color w:val="auto"/>
                <w:sz w:val="24"/>
                <w:lang w:eastAsia="zh-CN"/>
              </w:rPr>
            </w:pPr>
            <w:r>
              <w:rPr>
                <w:rFonts w:hint="eastAsia"/>
                <w:color w:val="auto"/>
                <w:sz w:val="24"/>
                <w:lang w:eastAsia="zh-CN"/>
              </w:rPr>
              <w:t>企业法定代表人</w:t>
            </w:r>
          </w:p>
        </w:tc>
        <w:tc>
          <w:tcPr>
            <w:tcW w:w="941" w:type="dxa"/>
          </w:tcPr>
          <w:p>
            <w:pPr>
              <w:ind w:firstLine="485"/>
              <w:rPr>
                <w:rFonts w:hint="eastAsia"/>
                <w:color w:val="auto"/>
                <w:lang w:val="en-US" w:eastAsia="zh-CN"/>
              </w:rPr>
            </w:pPr>
          </w:p>
          <w:p>
            <w:pPr>
              <w:pStyle w:val="2"/>
              <w:rPr>
                <w:rFonts w:hint="eastAsia"/>
                <w:color w:val="auto"/>
                <w:lang w:val="en-US" w:eastAsia="zh-CN"/>
              </w:rPr>
            </w:pPr>
          </w:p>
          <w:p>
            <w:pPr>
              <w:ind w:firstLine="480" w:firstLineChars="200"/>
              <w:rPr>
                <w:rFonts w:hint="default"/>
                <w:color w:val="auto"/>
                <w:lang w:val="en-US" w:eastAsia="zh-CN"/>
              </w:rPr>
            </w:pPr>
            <w:r>
              <w:rPr>
                <w:rFonts w:hint="eastAsia"/>
                <w:color w:val="auto"/>
                <w:sz w:val="24"/>
                <w:szCs w:val="24"/>
                <w:lang w:val="en-US" w:eastAsia="zh-CN"/>
              </w:rPr>
              <w:t>1</w:t>
            </w:r>
          </w:p>
        </w:tc>
        <w:tc>
          <w:tcPr>
            <w:tcW w:w="5303" w:type="dxa"/>
            <w:tcBorders>
              <w:top w:val="single" w:color="auto" w:sz="4" w:space="0"/>
              <w:left w:val="single" w:color="auto" w:sz="4" w:space="0"/>
              <w:bottom w:val="single" w:color="auto" w:sz="4" w:space="0"/>
              <w:right w:val="single" w:color="auto" w:sz="4" w:space="0"/>
            </w:tcBorders>
            <w:vAlign w:val="center"/>
          </w:tcPr>
          <w:p>
            <w:pPr>
              <w:pStyle w:val="32"/>
              <w:ind w:left="134"/>
              <w:rPr>
                <w:rFonts w:hint="eastAsia" w:eastAsia="宋体"/>
                <w:color w:val="auto"/>
                <w:sz w:val="21"/>
                <w:szCs w:val="21"/>
                <w:lang w:val="en-US" w:eastAsia="zh-CN"/>
              </w:rPr>
            </w:pPr>
            <w:r>
              <w:rPr>
                <w:rFonts w:hint="eastAsia"/>
                <w:color w:val="auto"/>
                <w:sz w:val="24"/>
                <w:lang w:val="en-US" w:eastAsia="zh-CN"/>
              </w:rPr>
              <w:t>具备交通运输主管部门颁发的有效安全生产“三类人员”A类证书；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5" w:hRule="atLeast"/>
          <w:jc w:val="center"/>
        </w:trPr>
        <w:tc>
          <w:tcPr>
            <w:tcW w:w="2074" w:type="dxa"/>
            <w:tcBorders>
              <w:top w:val="single" w:color="auto" w:sz="4" w:space="0"/>
              <w:left w:val="single" w:color="auto" w:sz="4" w:space="0"/>
              <w:bottom w:val="single" w:color="auto" w:sz="4" w:space="0"/>
              <w:right w:val="single" w:color="auto" w:sz="4" w:space="0"/>
            </w:tcBorders>
            <w:vAlign w:val="center"/>
          </w:tcPr>
          <w:p>
            <w:pPr>
              <w:pStyle w:val="32"/>
              <w:spacing w:before="67" w:line="360" w:lineRule="auto"/>
              <w:ind w:left="7" w:leftChars="0"/>
              <w:jc w:val="center"/>
              <w:rPr>
                <w:rFonts w:hint="eastAsia"/>
                <w:color w:val="auto"/>
                <w:sz w:val="24"/>
                <w:lang w:val="en-US" w:eastAsia="zh-CN"/>
              </w:rPr>
            </w:pPr>
            <w:r>
              <w:rPr>
                <w:rFonts w:hint="eastAsia"/>
                <w:color w:val="auto"/>
                <w:sz w:val="24"/>
                <w:lang w:val="en-US" w:eastAsia="zh-CN"/>
              </w:rPr>
              <w:t>财务负责人</w:t>
            </w:r>
          </w:p>
        </w:tc>
        <w:tc>
          <w:tcPr>
            <w:tcW w:w="941" w:type="dxa"/>
            <w:vAlign w:val="top"/>
          </w:tcPr>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rPr>
                <w:color w:val="auto"/>
                <w:sz w:val="2"/>
                <w:szCs w:val="2"/>
                <w:lang w:val="en-US"/>
              </w:rPr>
            </w:pPr>
          </w:p>
          <w:p>
            <w:pPr>
              <w:ind w:firstLine="485" w:firstLineChars="0"/>
              <w:rPr>
                <w:rFonts w:hint="eastAsia" w:eastAsia="宋体"/>
                <w:color w:val="auto"/>
                <w:sz w:val="24"/>
                <w:szCs w:val="24"/>
                <w:lang w:val="en-US" w:eastAsia="zh-CN"/>
              </w:rPr>
            </w:pPr>
            <w:r>
              <w:rPr>
                <w:rFonts w:hint="eastAsia"/>
                <w:color w:val="auto"/>
                <w:sz w:val="24"/>
                <w:szCs w:val="24"/>
                <w:lang w:val="en-US"/>
              </w:rPr>
              <w:t>1</w:t>
            </w:r>
          </w:p>
        </w:tc>
        <w:tc>
          <w:tcPr>
            <w:tcW w:w="5303" w:type="dxa"/>
            <w:tcBorders>
              <w:top w:val="single" w:color="auto" w:sz="4" w:space="0"/>
              <w:left w:val="single" w:color="auto" w:sz="4" w:space="0"/>
              <w:bottom w:val="single" w:color="auto" w:sz="4" w:space="0"/>
              <w:right w:val="single" w:color="auto" w:sz="4" w:space="0"/>
            </w:tcBorders>
            <w:vAlign w:val="center"/>
          </w:tcPr>
          <w:p>
            <w:pPr>
              <w:pStyle w:val="32"/>
              <w:ind w:left="134"/>
              <w:rPr>
                <w:rFonts w:hint="eastAsia"/>
                <w:color w:val="auto"/>
                <w:sz w:val="24"/>
                <w:lang w:val="en-US" w:eastAsia="zh-CN"/>
              </w:rPr>
            </w:pPr>
            <w:r>
              <w:rPr>
                <w:rFonts w:hint="eastAsia"/>
                <w:color w:val="auto"/>
                <w:sz w:val="24"/>
                <w:lang w:val="en-US" w:eastAsia="zh-CN"/>
              </w:rPr>
              <w:t>具备会计从业资格证书或初级会计师或以上职称证书。</w:t>
            </w:r>
          </w:p>
          <w:p>
            <w:pPr>
              <w:pStyle w:val="32"/>
              <w:ind w:left="134" w:leftChars="0"/>
              <w:rPr>
                <w:rFonts w:hint="eastAsia"/>
                <w:color w:val="auto"/>
                <w:sz w:val="24"/>
                <w:lang w:val="en-US"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5" w:hRule="atLeast"/>
          <w:jc w:val="center"/>
        </w:trPr>
        <w:tc>
          <w:tcPr>
            <w:tcW w:w="2074" w:type="dxa"/>
            <w:tcBorders>
              <w:top w:val="single" w:color="auto" w:sz="4" w:space="0"/>
              <w:left w:val="single" w:color="auto" w:sz="4" w:space="0"/>
              <w:bottom w:val="single" w:color="auto" w:sz="4" w:space="0"/>
              <w:right w:val="single" w:color="auto" w:sz="4" w:space="0"/>
            </w:tcBorders>
            <w:vAlign w:val="center"/>
          </w:tcPr>
          <w:p>
            <w:pPr>
              <w:pStyle w:val="32"/>
              <w:spacing w:before="67" w:line="360" w:lineRule="auto"/>
              <w:ind w:left="7" w:leftChars="0"/>
              <w:jc w:val="center"/>
              <w:rPr>
                <w:rFonts w:hint="eastAsia"/>
                <w:color w:val="auto"/>
                <w:sz w:val="24"/>
                <w:lang w:val="en-US" w:eastAsia="zh-CN"/>
              </w:rPr>
            </w:pPr>
            <w:r>
              <w:rPr>
                <w:rFonts w:hint="eastAsia"/>
                <w:color w:val="auto"/>
                <w:sz w:val="24"/>
                <w:lang w:val="en-US" w:eastAsia="zh-CN"/>
              </w:rPr>
              <w:t>造价负责人</w:t>
            </w:r>
          </w:p>
        </w:tc>
        <w:tc>
          <w:tcPr>
            <w:tcW w:w="941" w:type="dxa"/>
            <w:vAlign w:val="top"/>
          </w:tcPr>
          <w:p>
            <w:pPr>
              <w:ind w:firstLine="485" w:firstLineChars="0"/>
              <w:rPr>
                <w:rFonts w:hint="eastAsia"/>
                <w:color w:val="auto"/>
                <w:lang w:val="en-US" w:eastAsia="zh-CN"/>
              </w:rPr>
            </w:pPr>
          </w:p>
          <w:p>
            <w:pPr>
              <w:pStyle w:val="2"/>
              <w:rPr>
                <w:rFonts w:hint="eastAsia"/>
                <w:color w:val="auto"/>
                <w:lang w:val="en-US" w:eastAsia="zh-CN"/>
              </w:rPr>
            </w:pPr>
          </w:p>
          <w:p>
            <w:pPr>
              <w:ind w:firstLine="480" w:firstLineChars="200"/>
              <w:rPr>
                <w:rFonts w:hint="default"/>
                <w:color w:val="auto"/>
                <w:lang w:val="en-US" w:eastAsia="zh-CN"/>
              </w:rPr>
            </w:pPr>
            <w:r>
              <w:rPr>
                <w:rFonts w:hint="eastAsia"/>
                <w:color w:val="auto"/>
                <w:sz w:val="24"/>
                <w:szCs w:val="24"/>
                <w:lang w:val="en-US" w:eastAsia="zh-CN"/>
              </w:rPr>
              <w:t>1</w:t>
            </w:r>
          </w:p>
        </w:tc>
        <w:tc>
          <w:tcPr>
            <w:tcW w:w="5303" w:type="dxa"/>
            <w:tcBorders>
              <w:top w:val="single" w:color="auto" w:sz="4" w:space="0"/>
              <w:left w:val="single" w:color="auto" w:sz="4" w:space="0"/>
              <w:bottom w:val="single" w:color="auto" w:sz="4" w:space="0"/>
              <w:right w:val="single" w:color="auto" w:sz="4" w:space="0"/>
            </w:tcBorders>
            <w:vAlign w:val="center"/>
          </w:tcPr>
          <w:p>
            <w:pPr>
              <w:pStyle w:val="32"/>
              <w:ind w:left="134" w:leftChars="0"/>
              <w:rPr>
                <w:rFonts w:hint="eastAsia"/>
                <w:color w:val="auto"/>
                <w:sz w:val="24"/>
                <w:lang w:val="en-US" w:eastAsia="zh-CN"/>
              </w:rPr>
            </w:pPr>
            <w:r>
              <w:rPr>
                <w:rFonts w:hint="eastAsia"/>
                <w:color w:val="auto"/>
                <w:sz w:val="24"/>
                <w:lang w:val="en-US" w:eastAsia="zh-CN"/>
              </w:rPr>
              <w:t>具备一级注册造价工程师证书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85" w:hRule="atLeast"/>
          <w:jc w:val="center"/>
        </w:trPr>
        <w:tc>
          <w:tcPr>
            <w:tcW w:w="2074" w:type="dxa"/>
            <w:tcBorders>
              <w:top w:val="single" w:color="auto" w:sz="4" w:space="0"/>
              <w:left w:val="single" w:color="auto" w:sz="4" w:space="0"/>
              <w:bottom w:val="single" w:color="auto" w:sz="4" w:space="0"/>
              <w:right w:val="single" w:color="auto" w:sz="4" w:space="0"/>
            </w:tcBorders>
            <w:vAlign w:val="center"/>
          </w:tcPr>
          <w:p>
            <w:pPr>
              <w:pStyle w:val="32"/>
              <w:spacing w:before="67" w:line="360" w:lineRule="auto"/>
              <w:ind w:left="7" w:leftChars="0"/>
              <w:jc w:val="center"/>
              <w:rPr>
                <w:rFonts w:hint="eastAsia"/>
                <w:color w:val="auto"/>
                <w:sz w:val="24"/>
                <w:lang w:val="en-US" w:eastAsia="zh-CN"/>
              </w:rPr>
            </w:pPr>
          </w:p>
          <w:p>
            <w:pPr>
              <w:pStyle w:val="32"/>
              <w:spacing w:before="67" w:line="360" w:lineRule="auto"/>
              <w:ind w:left="7" w:leftChars="0"/>
              <w:jc w:val="center"/>
              <w:rPr>
                <w:rFonts w:hint="eastAsia"/>
                <w:color w:val="auto"/>
                <w:sz w:val="24"/>
                <w:lang w:val="en-US" w:eastAsia="zh-CN"/>
              </w:rPr>
            </w:pPr>
            <w:r>
              <w:rPr>
                <w:rFonts w:hint="eastAsia"/>
                <w:color w:val="auto"/>
                <w:sz w:val="24"/>
                <w:lang w:val="en-US" w:eastAsia="zh-CN"/>
              </w:rPr>
              <w:t>其他技术人员</w:t>
            </w:r>
          </w:p>
          <w:p>
            <w:pPr>
              <w:pStyle w:val="32"/>
              <w:spacing w:before="67" w:line="360" w:lineRule="auto"/>
              <w:ind w:left="7" w:leftChars="0"/>
              <w:jc w:val="center"/>
              <w:rPr>
                <w:rFonts w:hint="eastAsia"/>
                <w:color w:val="auto"/>
                <w:sz w:val="24"/>
                <w:lang w:val="en-US" w:eastAsia="zh-CN"/>
              </w:rPr>
            </w:pPr>
          </w:p>
          <w:p>
            <w:pPr>
              <w:pStyle w:val="32"/>
              <w:spacing w:before="67" w:line="360" w:lineRule="auto"/>
              <w:ind w:left="7" w:leftChars="0"/>
              <w:jc w:val="center"/>
              <w:rPr>
                <w:rFonts w:hint="eastAsia"/>
                <w:color w:val="auto"/>
                <w:sz w:val="24"/>
                <w:lang w:val="en-US" w:eastAsia="zh-CN"/>
              </w:rPr>
            </w:pPr>
          </w:p>
        </w:tc>
        <w:tc>
          <w:tcPr>
            <w:tcW w:w="941" w:type="dxa"/>
            <w:vAlign w:val="top"/>
          </w:tcPr>
          <w:p>
            <w:pPr>
              <w:ind w:firstLine="485" w:firstLineChars="0"/>
              <w:rPr>
                <w:rFonts w:hint="eastAsia"/>
                <w:color w:val="auto"/>
                <w:sz w:val="24"/>
                <w:szCs w:val="24"/>
                <w:lang w:val="en-US" w:eastAsia="zh-CN"/>
              </w:rPr>
            </w:pPr>
          </w:p>
          <w:p>
            <w:pPr>
              <w:ind w:firstLine="485" w:firstLineChars="0"/>
              <w:rPr>
                <w:rFonts w:hint="eastAsia"/>
                <w:color w:val="auto"/>
                <w:sz w:val="24"/>
                <w:szCs w:val="24"/>
                <w:lang w:val="en-US" w:eastAsia="zh-CN"/>
              </w:rPr>
            </w:pPr>
          </w:p>
          <w:p>
            <w:pPr>
              <w:ind w:firstLine="485" w:firstLineChars="0"/>
              <w:rPr>
                <w:rFonts w:hint="eastAsia"/>
                <w:color w:val="auto"/>
                <w:sz w:val="24"/>
                <w:szCs w:val="24"/>
                <w:lang w:val="en-US" w:eastAsia="zh-CN"/>
              </w:rPr>
            </w:pPr>
            <w:r>
              <w:rPr>
                <w:rFonts w:hint="eastAsia"/>
                <w:color w:val="auto"/>
                <w:sz w:val="24"/>
                <w:szCs w:val="24"/>
                <w:lang w:val="en-US" w:eastAsia="zh-CN"/>
              </w:rPr>
              <w:t>5</w:t>
            </w:r>
          </w:p>
        </w:tc>
        <w:tc>
          <w:tcPr>
            <w:tcW w:w="5303" w:type="dxa"/>
            <w:tcBorders>
              <w:top w:val="single" w:color="auto" w:sz="4" w:space="0"/>
              <w:left w:val="single" w:color="auto" w:sz="4" w:space="0"/>
              <w:bottom w:val="single" w:color="auto" w:sz="4" w:space="0"/>
              <w:right w:val="single" w:color="auto" w:sz="4" w:space="0"/>
            </w:tcBorders>
            <w:vAlign w:val="center"/>
          </w:tcPr>
          <w:p>
            <w:pPr>
              <w:pStyle w:val="32"/>
              <w:ind w:left="134"/>
              <w:rPr>
                <w:rFonts w:hint="eastAsia"/>
                <w:color w:val="auto"/>
                <w:sz w:val="24"/>
                <w:lang w:val="en-US" w:eastAsia="zh-CN"/>
              </w:rPr>
            </w:pPr>
            <w:r>
              <w:rPr>
                <w:rFonts w:hint="eastAsia"/>
                <w:color w:val="auto"/>
                <w:sz w:val="24"/>
                <w:lang w:val="en-US" w:eastAsia="zh-CN"/>
              </w:rPr>
              <w:t>施工员：具备有效的施工员岗位证；</w:t>
            </w:r>
          </w:p>
          <w:p>
            <w:pPr>
              <w:pStyle w:val="32"/>
              <w:ind w:left="134"/>
              <w:rPr>
                <w:rFonts w:hint="eastAsia"/>
                <w:color w:val="auto"/>
                <w:sz w:val="24"/>
                <w:lang w:val="en-US" w:eastAsia="zh-CN"/>
              </w:rPr>
            </w:pPr>
            <w:r>
              <w:rPr>
                <w:rFonts w:hint="eastAsia"/>
                <w:color w:val="auto"/>
                <w:sz w:val="24"/>
                <w:lang w:val="en-US" w:eastAsia="zh-CN"/>
              </w:rPr>
              <w:t>质量员：具备有效的质量员岗位证；</w:t>
            </w:r>
          </w:p>
          <w:p>
            <w:pPr>
              <w:pStyle w:val="32"/>
              <w:ind w:left="134"/>
              <w:rPr>
                <w:rFonts w:hint="eastAsia"/>
                <w:color w:val="auto"/>
                <w:sz w:val="24"/>
                <w:lang w:val="en-US" w:eastAsia="zh-CN"/>
              </w:rPr>
            </w:pPr>
            <w:r>
              <w:rPr>
                <w:rFonts w:hint="eastAsia"/>
                <w:color w:val="auto"/>
                <w:sz w:val="24"/>
                <w:lang w:val="en-US" w:eastAsia="zh-CN"/>
              </w:rPr>
              <w:t>安全员：具备交通运输主管部门颁发的有效安全生产“三类人员”C类证书；</w:t>
            </w:r>
          </w:p>
          <w:p>
            <w:pPr>
              <w:pStyle w:val="32"/>
              <w:ind w:left="134"/>
              <w:rPr>
                <w:rFonts w:hint="eastAsia"/>
                <w:color w:val="auto"/>
                <w:sz w:val="24"/>
                <w:lang w:val="en-US" w:eastAsia="zh-CN"/>
              </w:rPr>
            </w:pPr>
            <w:r>
              <w:rPr>
                <w:rFonts w:hint="eastAsia"/>
                <w:color w:val="auto"/>
                <w:sz w:val="24"/>
                <w:lang w:val="en-US" w:eastAsia="zh-CN"/>
              </w:rPr>
              <w:t>资料员：具备有效的资料员岗位证；</w:t>
            </w:r>
          </w:p>
          <w:p>
            <w:pPr>
              <w:pStyle w:val="32"/>
              <w:ind w:left="134" w:leftChars="0"/>
              <w:rPr>
                <w:rFonts w:hint="eastAsia"/>
                <w:color w:val="auto"/>
                <w:sz w:val="24"/>
                <w:lang w:val="en-US" w:eastAsia="zh-CN"/>
              </w:rPr>
            </w:pPr>
            <w:r>
              <w:rPr>
                <w:rFonts w:hint="eastAsia"/>
                <w:color w:val="auto"/>
                <w:sz w:val="24"/>
                <w:lang w:val="en-US" w:eastAsia="zh-CN"/>
              </w:rPr>
              <w:t>材料员：具备有效的材料员岗位证；</w:t>
            </w:r>
          </w:p>
        </w:tc>
      </w:tr>
    </w:tbl>
    <w:p>
      <w:pPr>
        <w:numPr>
          <w:ilvl w:val="0"/>
          <w:numId w:val="0"/>
        </w:numPr>
        <w:rPr>
          <w:rFonts w:hint="default" w:cs="宋体"/>
          <w:color w:val="auto"/>
          <w:sz w:val="20"/>
          <w:szCs w:val="21"/>
          <w:lang w:val="en-US" w:eastAsia="zh-CN" w:bidi="zh-CN"/>
        </w:rPr>
      </w:pPr>
    </w:p>
    <w:p>
      <w:pPr>
        <w:keepNext w:val="0"/>
        <w:keepLines w:val="0"/>
        <w:widowControl/>
        <w:suppressLineNumbers w:val="0"/>
        <w:ind w:firstLine="240" w:firstLineChars="100"/>
        <w:jc w:val="left"/>
        <w:rPr>
          <w:rFonts w:hint="default"/>
          <w:color w:val="auto"/>
          <w:sz w:val="24"/>
          <w:szCs w:val="24"/>
          <w:lang w:val="en-US" w:eastAsia="zh-CN"/>
        </w:rPr>
      </w:pPr>
      <w:r>
        <w:rPr>
          <w:rFonts w:hint="eastAsia"/>
          <w:color w:val="auto"/>
          <w:sz w:val="24"/>
          <w:szCs w:val="24"/>
          <w:lang w:val="en-US" w:eastAsia="zh-CN"/>
        </w:rPr>
        <w:t>注：资格要求的人员提供证书复印件加盖公章和近3个月（不含开标当月）社保缴费证明复印件加盖公章（社保证明材料上需有社保部门印章），均在投标人所在单位，否则视为无效。</w:t>
      </w:r>
    </w:p>
    <w:p>
      <w:pPr>
        <w:rPr>
          <w:rFonts w:hint="default"/>
          <w:lang w:val="en-US" w:eastAsia="zh-CN"/>
        </w:rPr>
        <w:sectPr>
          <w:footerReference r:id="rId11" w:type="default"/>
          <w:footerReference r:id="rId12" w:type="even"/>
          <w:pgSz w:w="11911" w:h="16838"/>
          <w:pgMar w:top="1247" w:right="1134" w:bottom="1247" w:left="1134" w:header="737" w:footer="850" w:gutter="0"/>
          <w:pgNumType w:fmt="numberInDash"/>
          <w:cols w:space="0" w:num="1"/>
          <w:rtlGutter w:val="0"/>
          <w:docGrid w:linePitch="0" w:charSpace="0"/>
        </w:sectPr>
      </w:pPr>
    </w:p>
    <w:p>
      <w:pPr>
        <w:spacing w:before="91" w:line="222" w:lineRule="auto"/>
        <w:ind w:left="3819"/>
        <w:rPr>
          <w:rFonts w:hint="eastAsia" w:ascii="宋体" w:hAnsi="宋体" w:eastAsia="宋体" w:cs="宋体"/>
          <w:b/>
          <w:bCs/>
          <w:color w:val="auto"/>
          <w:spacing w:val="-2"/>
          <w:sz w:val="28"/>
          <w:szCs w:val="28"/>
        </w:rPr>
      </w:pPr>
    </w:p>
    <w:p>
      <w:pPr>
        <w:spacing w:before="91" w:line="222" w:lineRule="auto"/>
        <w:ind w:left="3819"/>
        <w:rPr>
          <w:rFonts w:hint="eastAsia" w:ascii="宋体" w:hAnsi="宋体" w:eastAsia="宋体" w:cs="宋体"/>
          <w:b/>
          <w:bCs/>
          <w:color w:val="auto"/>
          <w:sz w:val="28"/>
          <w:szCs w:val="28"/>
        </w:rPr>
      </w:pPr>
      <w:r>
        <w:rPr>
          <w:rFonts w:hint="eastAsia" w:ascii="宋体" w:hAnsi="宋体" w:eastAsia="宋体" w:cs="宋体"/>
          <w:b/>
          <w:bCs/>
          <w:color w:val="auto"/>
          <w:spacing w:val="-2"/>
          <w:sz w:val="28"/>
          <w:szCs w:val="28"/>
        </w:rPr>
        <w:t>投</w:t>
      </w:r>
      <w:r>
        <w:rPr>
          <w:rFonts w:hint="eastAsia" w:ascii="宋体" w:hAnsi="宋体" w:eastAsia="宋体" w:cs="宋体"/>
          <w:b/>
          <w:bCs/>
          <w:color w:val="auto"/>
          <w:spacing w:val="-1"/>
          <w:sz w:val="28"/>
          <w:szCs w:val="28"/>
        </w:rPr>
        <w:t>标人须知正文</w:t>
      </w:r>
    </w:p>
    <w:p>
      <w:pPr>
        <w:rPr>
          <w:rFonts w:hint="eastAsia"/>
          <w:color w:val="auto"/>
          <w:sz w:val="24"/>
          <w:szCs w:val="24"/>
        </w:rPr>
      </w:pPr>
    </w:p>
    <w:p>
      <w:pPr>
        <w:rPr>
          <w:rFonts w:hint="eastAsia"/>
          <w:b/>
          <w:bCs/>
          <w:color w:val="auto"/>
          <w:sz w:val="28"/>
          <w:szCs w:val="28"/>
        </w:rPr>
      </w:pPr>
      <w:r>
        <w:rPr>
          <w:rFonts w:hint="eastAsia"/>
          <w:b/>
          <w:bCs/>
          <w:color w:val="auto"/>
          <w:sz w:val="28"/>
          <w:szCs w:val="28"/>
        </w:rPr>
        <w:t>1.总则</w:t>
      </w:r>
    </w:p>
    <w:p>
      <w:pPr>
        <w:pStyle w:val="13"/>
        <w:rPr>
          <w:color w:val="auto"/>
        </w:rPr>
      </w:pPr>
    </w:p>
    <w:p>
      <w:pPr>
        <w:rPr>
          <w:rFonts w:hint="eastAsia"/>
          <w:b/>
          <w:bCs/>
          <w:color w:val="auto"/>
          <w:sz w:val="24"/>
          <w:szCs w:val="24"/>
        </w:rPr>
      </w:pPr>
      <w:r>
        <w:rPr>
          <w:rFonts w:hint="eastAsia"/>
          <w:b/>
          <w:bCs/>
          <w:color w:val="auto"/>
          <w:sz w:val="24"/>
          <w:szCs w:val="24"/>
        </w:rPr>
        <w:t>1.1项目概况</w:t>
      </w:r>
    </w:p>
    <w:p>
      <w:pPr>
        <w:spacing w:line="360" w:lineRule="auto"/>
        <w:ind w:firstLine="480" w:firstLineChars="200"/>
        <w:rPr>
          <w:color w:val="auto"/>
          <w:sz w:val="24"/>
          <w:szCs w:val="24"/>
        </w:rPr>
      </w:pPr>
      <w:r>
        <w:rPr>
          <w:rFonts w:hint="eastAsia"/>
          <w:color w:val="auto"/>
          <w:sz w:val="24"/>
          <w:szCs w:val="24"/>
        </w:rPr>
        <w:t>1.1.1根据《中华人民共和国招标投标法》《中华人民共和国招标投标法实施条例》《公路工程建设项目招标投标管理办法》等有关法律、法规和规章的规定，本招标项目已具备招标条件，现对本标段施工进行招标。</w:t>
      </w:r>
    </w:p>
    <w:p>
      <w:pPr>
        <w:spacing w:line="360" w:lineRule="auto"/>
        <w:ind w:firstLine="480" w:firstLineChars="200"/>
        <w:rPr>
          <w:color w:val="auto"/>
          <w:sz w:val="24"/>
          <w:szCs w:val="24"/>
        </w:rPr>
      </w:pPr>
      <w:r>
        <w:rPr>
          <w:rFonts w:hint="eastAsia"/>
          <w:color w:val="auto"/>
          <w:sz w:val="24"/>
          <w:szCs w:val="24"/>
        </w:rPr>
        <w:t>1.1.2本招标项目招标人：见投标人须知前附表。</w:t>
      </w:r>
    </w:p>
    <w:p>
      <w:pPr>
        <w:spacing w:line="360" w:lineRule="auto"/>
        <w:ind w:firstLine="480" w:firstLineChars="200"/>
        <w:rPr>
          <w:color w:val="auto"/>
          <w:sz w:val="24"/>
          <w:szCs w:val="24"/>
        </w:rPr>
      </w:pPr>
      <w:r>
        <w:rPr>
          <w:rFonts w:hint="eastAsia"/>
          <w:color w:val="auto"/>
          <w:sz w:val="24"/>
          <w:szCs w:val="24"/>
        </w:rPr>
        <w:t>1.1.3本标段招标代理机构：见投标人须知前附表。</w:t>
      </w:r>
    </w:p>
    <w:p>
      <w:pPr>
        <w:spacing w:line="360" w:lineRule="auto"/>
        <w:ind w:firstLine="480" w:firstLineChars="200"/>
        <w:rPr>
          <w:color w:val="auto"/>
          <w:sz w:val="24"/>
          <w:szCs w:val="24"/>
        </w:rPr>
      </w:pPr>
      <w:r>
        <w:rPr>
          <w:rFonts w:hint="eastAsia"/>
          <w:color w:val="auto"/>
          <w:sz w:val="24"/>
          <w:szCs w:val="24"/>
        </w:rPr>
        <w:t>1.1.4本招标项目名称：见投标人须知前附表。</w:t>
      </w:r>
    </w:p>
    <w:p>
      <w:pPr>
        <w:spacing w:line="360" w:lineRule="auto"/>
        <w:ind w:firstLine="480" w:firstLineChars="200"/>
        <w:rPr>
          <w:color w:val="auto"/>
        </w:rPr>
      </w:pPr>
      <w:r>
        <w:rPr>
          <w:rFonts w:hint="eastAsia"/>
          <w:color w:val="auto"/>
          <w:sz w:val="24"/>
          <w:szCs w:val="24"/>
        </w:rPr>
        <w:t>1.1.5本标段建设地点：见投标人须知前附表。</w:t>
      </w:r>
    </w:p>
    <w:p>
      <w:pPr>
        <w:spacing w:line="360" w:lineRule="auto"/>
        <w:rPr>
          <w:b/>
          <w:bCs/>
          <w:color w:val="auto"/>
          <w:sz w:val="24"/>
          <w:szCs w:val="24"/>
        </w:rPr>
      </w:pPr>
      <w:r>
        <w:rPr>
          <w:rFonts w:hint="eastAsia"/>
          <w:b/>
          <w:bCs/>
          <w:color w:val="auto"/>
          <w:sz w:val="24"/>
          <w:szCs w:val="24"/>
        </w:rPr>
        <w:t>1.2招标项目的资金来源和落实情况</w:t>
      </w:r>
    </w:p>
    <w:p>
      <w:pPr>
        <w:spacing w:line="360" w:lineRule="auto"/>
        <w:ind w:firstLine="480" w:firstLineChars="200"/>
        <w:rPr>
          <w:color w:val="auto"/>
          <w:sz w:val="24"/>
          <w:szCs w:val="24"/>
        </w:rPr>
      </w:pPr>
      <w:r>
        <w:rPr>
          <w:rFonts w:hint="eastAsia"/>
          <w:color w:val="auto"/>
          <w:sz w:val="24"/>
          <w:szCs w:val="24"/>
        </w:rPr>
        <w:t>1.2.1资金来源及比例：见投标人须知前附表。</w:t>
      </w:r>
    </w:p>
    <w:p>
      <w:pPr>
        <w:spacing w:line="360" w:lineRule="auto"/>
        <w:ind w:firstLine="480" w:firstLineChars="200"/>
        <w:rPr>
          <w:color w:val="auto"/>
        </w:rPr>
      </w:pPr>
      <w:r>
        <w:rPr>
          <w:rFonts w:hint="eastAsia"/>
          <w:color w:val="auto"/>
          <w:sz w:val="24"/>
          <w:szCs w:val="24"/>
        </w:rPr>
        <w:t>1.2.2资金落实情况：见投标人须知前附表。</w:t>
      </w:r>
    </w:p>
    <w:p>
      <w:pPr>
        <w:spacing w:line="360" w:lineRule="auto"/>
        <w:rPr>
          <w:b/>
          <w:bCs/>
          <w:color w:val="auto"/>
          <w:sz w:val="24"/>
          <w:szCs w:val="24"/>
        </w:rPr>
      </w:pPr>
      <w:r>
        <w:rPr>
          <w:rFonts w:hint="eastAsia"/>
          <w:b/>
          <w:bCs/>
          <w:color w:val="auto"/>
          <w:sz w:val="24"/>
          <w:szCs w:val="24"/>
        </w:rPr>
        <w:t>1.3招标范围、计划工期、质量要求和安全目标</w:t>
      </w:r>
    </w:p>
    <w:p>
      <w:pPr>
        <w:spacing w:line="360" w:lineRule="auto"/>
        <w:ind w:firstLine="480" w:firstLineChars="200"/>
        <w:rPr>
          <w:color w:val="auto"/>
          <w:sz w:val="24"/>
          <w:szCs w:val="24"/>
        </w:rPr>
      </w:pPr>
      <w:r>
        <w:rPr>
          <w:rFonts w:hint="eastAsia"/>
          <w:color w:val="auto"/>
          <w:sz w:val="24"/>
          <w:szCs w:val="24"/>
        </w:rPr>
        <w:t>1.3.1招标范围：见投标人须知前附表。</w:t>
      </w:r>
    </w:p>
    <w:p>
      <w:pPr>
        <w:spacing w:line="360" w:lineRule="auto"/>
        <w:ind w:firstLine="480" w:firstLineChars="200"/>
        <w:rPr>
          <w:color w:val="auto"/>
          <w:sz w:val="24"/>
          <w:szCs w:val="24"/>
        </w:rPr>
      </w:pPr>
      <w:r>
        <w:rPr>
          <w:rFonts w:hint="eastAsia"/>
          <w:color w:val="auto"/>
          <w:sz w:val="24"/>
          <w:szCs w:val="24"/>
        </w:rPr>
        <w:t>1.3.2本标段的计划工期：见投标人须知前附表。</w:t>
      </w:r>
    </w:p>
    <w:p>
      <w:pPr>
        <w:spacing w:line="360" w:lineRule="auto"/>
        <w:ind w:firstLine="480" w:firstLineChars="200"/>
        <w:rPr>
          <w:color w:val="auto"/>
          <w:sz w:val="24"/>
          <w:szCs w:val="24"/>
        </w:rPr>
      </w:pPr>
      <w:r>
        <w:rPr>
          <w:rFonts w:hint="eastAsia"/>
          <w:color w:val="auto"/>
          <w:sz w:val="24"/>
          <w:szCs w:val="24"/>
        </w:rPr>
        <w:t>1.3.3本标段的质量要求：见投标人须知前附表。</w:t>
      </w:r>
    </w:p>
    <w:p>
      <w:pPr>
        <w:spacing w:line="360" w:lineRule="auto"/>
        <w:ind w:firstLine="480" w:firstLineChars="200"/>
        <w:rPr>
          <w:color w:val="auto"/>
        </w:rPr>
      </w:pPr>
      <w:r>
        <w:rPr>
          <w:rFonts w:hint="eastAsia"/>
          <w:color w:val="auto"/>
          <w:sz w:val="24"/>
          <w:szCs w:val="24"/>
        </w:rPr>
        <w:t>1.3.4本标段的安全目标：见投标人须知前附表。</w:t>
      </w:r>
    </w:p>
    <w:p>
      <w:pPr>
        <w:spacing w:line="360" w:lineRule="auto"/>
        <w:rPr>
          <w:b/>
          <w:bCs/>
          <w:color w:val="auto"/>
          <w:sz w:val="24"/>
          <w:szCs w:val="24"/>
        </w:rPr>
      </w:pPr>
      <w:r>
        <w:rPr>
          <w:rFonts w:hint="eastAsia"/>
          <w:b/>
          <w:bCs/>
          <w:color w:val="auto"/>
          <w:sz w:val="24"/>
          <w:szCs w:val="24"/>
        </w:rPr>
        <w:t>1.4投标人资格要求</w:t>
      </w:r>
    </w:p>
    <w:p>
      <w:pPr>
        <w:spacing w:line="360" w:lineRule="auto"/>
        <w:ind w:firstLine="480" w:firstLineChars="200"/>
        <w:rPr>
          <w:color w:val="auto"/>
          <w:sz w:val="24"/>
          <w:szCs w:val="24"/>
        </w:rPr>
      </w:pPr>
      <w:r>
        <w:rPr>
          <w:rFonts w:hint="eastAsia"/>
          <w:color w:val="auto"/>
          <w:sz w:val="24"/>
          <w:szCs w:val="24"/>
        </w:rPr>
        <w:t>1.4.1投标人应具备承担本标段施工的资质条件、能力和信誉。</w:t>
      </w:r>
    </w:p>
    <w:p>
      <w:pPr>
        <w:spacing w:line="360" w:lineRule="auto"/>
        <w:ind w:firstLine="480" w:firstLineChars="200"/>
        <w:rPr>
          <w:color w:val="auto"/>
          <w:sz w:val="24"/>
          <w:szCs w:val="24"/>
        </w:rPr>
      </w:pPr>
      <w:r>
        <w:rPr>
          <w:rFonts w:hint="eastAsia"/>
          <w:color w:val="auto"/>
          <w:sz w:val="24"/>
          <w:szCs w:val="24"/>
        </w:rPr>
        <w:t>（1）资质要求：见投标人须知前附表；</w:t>
      </w:r>
    </w:p>
    <w:p>
      <w:pPr>
        <w:spacing w:line="360" w:lineRule="auto"/>
        <w:ind w:firstLine="480" w:firstLineChars="200"/>
        <w:rPr>
          <w:color w:val="auto"/>
          <w:sz w:val="24"/>
          <w:szCs w:val="24"/>
        </w:rPr>
      </w:pPr>
      <w:r>
        <w:rPr>
          <w:rFonts w:hint="eastAsia"/>
          <w:color w:val="auto"/>
          <w:sz w:val="24"/>
          <w:szCs w:val="24"/>
        </w:rPr>
        <w:t>（2）财务要求：见投标人须知前附表；</w:t>
      </w:r>
    </w:p>
    <w:p>
      <w:pPr>
        <w:spacing w:line="360" w:lineRule="auto"/>
        <w:ind w:firstLine="480" w:firstLineChars="200"/>
        <w:rPr>
          <w:color w:val="auto"/>
          <w:sz w:val="24"/>
          <w:szCs w:val="24"/>
        </w:rPr>
      </w:pPr>
      <w:r>
        <w:rPr>
          <w:rFonts w:hint="eastAsia"/>
          <w:color w:val="auto"/>
          <w:sz w:val="24"/>
          <w:szCs w:val="24"/>
        </w:rPr>
        <w:t>（3）业绩要求：见投标人须知前附表；</w:t>
      </w:r>
    </w:p>
    <w:p>
      <w:pPr>
        <w:spacing w:line="360" w:lineRule="auto"/>
        <w:ind w:firstLine="480" w:firstLineChars="200"/>
        <w:rPr>
          <w:color w:val="auto"/>
          <w:sz w:val="24"/>
          <w:szCs w:val="24"/>
        </w:rPr>
      </w:pPr>
      <w:r>
        <w:rPr>
          <w:rFonts w:hint="eastAsia"/>
          <w:color w:val="auto"/>
          <w:sz w:val="24"/>
          <w:szCs w:val="24"/>
        </w:rPr>
        <w:t>（4）信誉要求：见投标人须知前附表；</w:t>
      </w:r>
    </w:p>
    <w:p>
      <w:pPr>
        <w:spacing w:line="360" w:lineRule="auto"/>
        <w:ind w:firstLine="480" w:firstLineChars="200"/>
        <w:rPr>
          <w:color w:val="auto"/>
          <w:sz w:val="24"/>
          <w:szCs w:val="24"/>
        </w:rPr>
      </w:pPr>
      <w:r>
        <w:rPr>
          <w:rFonts w:hint="eastAsia"/>
          <w:color w:val="auto"/>
          <w:sz w:val="24"/>
          <w:szCs w:val="24"/>
        </w:rPr>
        <w:t>（5）项目经理和项目总工资格：见投标人须知前附表；</w:t>
      </w:r>
    </w:p>
    <w:p>
      <w:pPr>
        <w:spacing w:line="360" w:lineRule="auto"/>
        <w:ind w:firstLine="480" w:firstLineChars="200"/>
        <w:rPr>
          <w:color w:val="auto"/>
          <w:sz w:val="24"/>
          <w:szCs w:val="24"/>
        </w:rPr>
      </w:pPr>
      <w:r>
        <w:rPr>
          <w:rFonts w:hint="eastAsia"/>
          <w:color w:val="auto"/>
          <w:sz w:val="24"/>
          <w:szCs w:val="24"/>
        </w:rPr>
        <w:t>（6）</w:t>
      </w:r>
      <w:r>
        <w:rPr>
          <w:rFonts w:hint="eastAsia"/>
          <w:color w:val="auto"/>
          <w:sz w:val="24"/>
          <w:szCs w:val="24"/>
          <w:lang w:val="en-US" w:eastAsia="zh-CN"/>
        </w:rPr>
        <w:t>其他管理和技术人员</w:t>
      </w:r>
      <w:r>
        <w:rPr>
          <w:rFonts w:hint="eastAsia"/>
          <w:color w:val="auto"/>
          <w:sz w:val="24"/>
          <w:szCs w:val="24"/>
        </w:rPr>
        <w:t>：见投标人须知前附表。</w:t>
      </w:r>
    </w:p>
    <w:p>
      <w:pPr>
        <w:spacing w:line="360" w:lineRule="auto"/>
        <w:ind w:firstLine="480" w:firstLineChars="200"/>
        <w:rPr>
          <w:color w:val="auto"/>
          <w:sz w:val="24"/>
          <w:szCs w:val="24"/>
        </w:rPr>
      </w:pPr>
      <w:r>
        <w:rPr>
          <w:rFonts w:hint="eastAsia"/>
          <w:color w:val="auto"/>
          <w:sz w:val="24"/>
          <w:szCs w:val="24"/>
        </w:rPr>
        <w:t>需要提交的相关证明材料见本章第3.5款的规定。</w:t>
      </w:r>
    </w:p>
    <w:p>
      <w:pPr>
        <w:spacing w:line="360" w:lineRule="auto"/>
        <w:ind w:firstLine="480" w:firstLineChars="200"/>
        <w:rPr>
          <w:color w:val="auto"/>
          <w:sz w:val="24"/>
          <w:szCs w:val="24"/>
        </w:rPr>
      </w:pPr>
      <w:r>
        <w:rPr>
          <w:rFonts w:hint="eastAsia"/>
          <w:color w:val="auto"/>
          <w:sz w:val="24"/>
          <w:szCs w:val="24"/>
        </w:rPr>
        <w:t>1.4.3投标人不得与本标段相关单位存在下列关联关系：</w:t>
      </w:r>
    </w:p>
    <w:p>
      <w:pPr>
        <w:spacing w:line="360" w:lineRule="auto"/>
        <w:ind w:firstLine="480" w:firstLineChars="200"/>
        <w:rPr>
          <w:color w:val="auto"/>
          <w:sz w:val="24"/>
          <w:szCs w:val="24"/>
        </w:rPr>
      </w:pPr>
      <w:r>
        <w:rPr>
          <w:rFonts w:hint="eastAsia"/>
          <w:color w:val="auto"/>
          <w:sz w:val="24"/>
          <w:szCs w:val="24"/>
        </w:rPr>
        <w:t>（1）为招标人不具有独立法人资格的附属机构（单位）；</w:t>
      </w:r>
    </w:p>
    <w:p>
      <w:pPr>
        <w:spacing w:line="360" w:lineRule="auto"/>
        <w:ind w:firstLine="480" w:firstLineChars="200"/>
        <w:rPr>
          <w:color w:val="auto"/>
          <w:sz w:val="24"/>
          <w:szCs w:val="24"/>
        </w:rPr>
      </w:pPr>
      <w:r>
        <w:rPr>
          <w:rFonts w:hint="eastAsia"/>
          <w:color w:val="auto"/>
          <w:sz w:val="24"/>
          <w:szCs w:val="24"/>
        </w:rPr>
        <w:t>（2）与招标人存在利害关系且可能影响招标公正性；</w:t>
      </w:r>
    </w:p>
    <w:p>
      <w:pPr>
        <w:spacing w:line="360" w:lineRule="auto"/>
        <w:ind w:firstLine="480" w:firstLineChars="200"/>
        <w:rPr>
          <w:color w:val="auto"/>
          <w:sz w:val="24"/>
          <w:szCs w:val="24"/>
        </w:rPr>
      </w:pPr>
      <w:r>
        <w:rPr>
          <w:rFonts w:hint="eastAsia"/>
          <w:color w:val="auto"/>
          <w:sz w:val="24"/>
          <w:szCs w:val="24"/>
        </w:rPr>
        <w:t>（3）与本标段的其他投标人同为一个单位负责人；</w:t>
      </w:r>
    </w:p>
    <w:p>
      <w:pPr>
        <w:spacing w:line="360" w:lineRule="auto"/>
        <w:ind w:firstLine="480" w:firstLineChars="200"/>
        <w:rPr>
          <w:color w:val="auto"/>
          <w:sz w:val="24"/>
          <w:szCs w:val="24"/>
        </w:rPr>
      </w:pPr>
      <w:r>
        <w:rPr>
          <w:rFonts w:hint="eastAsia"/>
          <w:color w:val="auto"/>
          <w:sz w:val="24"/>
          <w:szCs w:val="24"/>
        </w:rPr>
        <w:t>（4）与本标段的其他投标人存在控股、管理关系；</w:t>
      </w:r>
    </w:p>
    <w:p>
      <w:pPr>
        <w:spacing w:line="360" w:lineRule="auto"/>
        <w:ind w:firstLine="480" w:firstLineChars="200"/>
        <w:rPr>
          <w:color w:val="auto"/>
          <w:sz w:val="24"/>
          <w:szCs w:val="24"/>
        </w:rPr>
      </w:pPr>
      <w:r>
        <w:rPr>
          <w:rFonts w:hint="eastAsia"/>
          <w:color w:val="auto"/>
          <w:sz w:val="24"/>
          <w:szCs w:val="24"/>
        </w:rPr>
        <w:t>（5）为本标段前期准备提供设计或咨询服务的法人或其任何附属机构（单位）；</w:t>
      </w:r>
    </w:p>
    <w:p>
      <w:pPr>
        <w:spacing w:line="360" w:lineRule="auto"/>
        <w:ind w:firstLine="480" w:firstLineChars="200"/>
        <w:rPr>
          <w:color w:val="auto"/>
          <w:sz w:val="24"/>
          <w:szCs w:val="24"/>
        </w:rPr>
      </w:pPr>
      <w:r>
        <w:rPr>
          <w:rFonts w:hint="eastAsia"/>
          <w:color w:val="auto"/>
          <w:sz w:val="24"/>
          <w:szCs w:val="24"/>
        </w:rPr>
        <w:t>（6）为本标段的监理人；</w:t>
      </w:r>
    </w:p>
    <w:p>
      <w:pPr>
        <w:spacing w:line="360" w:lineRule="auto"/>
        <w:ind w:firstLine="480" w:firstLineChars="200"/>
        <w:rPr>
          <w:color w:val="auto"/>
          <w:sz w:val="24"/>
          <w:szCs w:val="24"/>
        </w:rPr>
      </w:pPr>
      <w:r>
        <w:rPr>
          <w:rFonts w:hint="eastAsia"/>
          <w:color w:val="auto"/>
          <w:sz w:val="24"/>
          <w:szCs w:val="24"/>
        </w:rPr>
        <w:t>（7）为本标段的代建人；</w:t>
      </w:r>
    </w:p>
    <w:p>
      <w:pPr>
        <w:spacing w:line="360" w:lineRule="auto"/>
        <w:ind w:firstLine="480" w:firstLineChars="200"/>
        <w:rPr>
          <w:color w:val="auto"/>
          <w:sz w:val="24"/>
          <w:szCs w:val="24"/>
        </w:rPr>
      </w:pPr>
      <w:r>
        <w:rPr>
          <w:rFonts w:hint="eastAsia"/>
          <w:color w:val="auto"/>
          <w:sz w:val="24"/>
          <w:szCs w:val="24"/>
        </w:rPr>
        <w:t>（8）为本标段的招标代理机构；</w:t>
      </w:r>
    </w:p>
    <w:p>
      <w:pPr>
        <w:spacing w:line="360" w:lineRule="auto"/>
        <w:ind w:firstLine="480" w:firstLineChars="200"/>
        <w:rPr>
          <w:color w:val="auto"/>
          <w:sz w:val="24"/>
          <w:szCs w:val="24"/>
        </w:rPr>
      </w:pPr>
      <w:r>
        <w:rPr>
          <w:rFonts w:hint="eastAsia"/>
          <w:color w:val="auto"/>
          <w:sz w:val="24"/>
          <w:szCs w:val="24"/>
        </w:rPr>
        <w:t>（9）与本标段的监理人或代建人或招标代理机构同为一个法定代表人；</w:t>
      </w:r>
    </w:p>
    <w:p>
      <w:pPr>
        <w:spacing w:line="360" w:lineRule="auto"/>
        <w:ind w:firstLine="480" w:firstLineChars="200"/>
        <w:rPr>
          <w:color w:val="auto"/>
          <w:sz w:val="24"/>
          <w:szCs w:val="24"/>
        </w:rPr>
      </w:pPr>
      <w:r>
        <w:rPr>
          <w:rFonts w:hint="eastAsia"/>
          <w:color w:val="auto"/>
          <w:sz w:val="24"/>
          <w:szCs w:val="24"/>
        </w:rPr>
        <w:t>（10）与本标段的监理人或代建人或招标代理机构存在控股或参股关系；</w:t>
      </w:r>
    </w:p>
    <w:p>
      <w:pPr>
        <w:spacing w:line="360" w:lineRule="auto"/>
        <w:ind w:firstLine="480" w:firstLineChars="200"/>
        <w:rPr>
          <w:color w:val="auto"/>
          <w:sz w:val="24"/>
          <w:szCs w:val="24"/>
        </w:rPr>
      </w:pPr>
      <w:r>
        <w:rPr>
          <w:rFonts w:hint="eastAsia"/>
          <w:color w:val="auto"/>
          <w:sz w:val="24"/>
          <w:szCs w:val="24"/>
        </w:rPr>
        <w:t>（11）法律法规或投标人须知前附表规定的其他情形。</w:t>
      </w:r>
    </w:p>
    <w:p>
      <w:pPr>
        <w:spacing w:line="360" w:lineRule="auto"/>
        <w:ind w:firstLine="480" w:firstLineChars="200"/>
        <w:rPr>
          <w:color w:val="auto"/>
          <w:sz w:val="24"/>
          <w:szCs w:val="24"/>
        </w:rPr>
      </w:pPr>
      <w:r>
        <w:rPr>
          <w:rFonts w:hint="eastAsia"/>
          <w:color w:val="auto"/>
          <w:sz w:val="24"/>
          <w:szCs w:val="24"/>
        </w:rPr>
        <w:t>1.4.4投标人不得存在下列不良状况或不良信用记录：</w:t>
      </w:r>
    </w:p>
    <w:p>
      <w:pPr>
        <w:spacing w:line="360" w:lineRule="auto"/>
        <w:ind w:firstLine="480" w:firstLineChars="200"/>
        <w:rPr>
          <w:color w:val="auto"/>
          <w:sz w:val="24"/>
          <w:szCs w:val="24"/>
        </w:rPr>
      </w:pPr>
      <w:r>
        <w:rPr>
          <w:rFonts w:hint="eastAsia"/>
          <w:color w:val="auto"/>
          <w:sz w:val="24"/>
          <w:szCs w:val="24"/>
        </w:rPr>
        <w:t>（1）被省级及以上交通运输主管部门</w:t>
      </w:r>
      <w:r>
        <w:rPr>
          <w:rFonts w:hint="eastAsia"/>
          <w:color w:val="auto"/>
          <w:sz w:val="24"/>
          <w:szCs w:val="24"/>
          <w:lang w:eastAsia="zh-CN"/>
        </w:rPr>
        <w:t>取消</w:t>
      </w:r>
      <w:r>
        <w:rPr>
          <w:rFonts w:hint="eastAsia"/>
          <w:color w:val="auto"/>
          <w:sz w:val="24"/>
          <w:szCs w:val="24"/>
        </w:rPr>
        <w:t>招标项目所在地的投标资格且处于有效期内；</w:t>
      </w:r>
    </w:p>
    <w:p>
      <w:pPr>
        <w:spacing w:line="360" w:lineRule="auto"/>
        <w:ind w:firstLine="480" w:firstLineChars="200"/>
        <w:rPr>
          <w:color w:val="auto"/>
          <w:sz w:val="24"/>
          <w:szCs w:val="24"/>
        </w:rPr>
      </w:pPr>
      <w:r>
        <w:rPr>
          <w:rFonts w:hint="eastAsia"/>
          <w:color w:val="auto"/>
          <w:sz w:val="24"/>
          <w:szCs w:val="24"/>
        </w:rPr>
        <w:t>（2）被责令停业，暂扣或吊销执照，或吊销资质证书；</w:t>
      </w:r>
    </w:p>
    <w:p>
      <w:pPr>
        <w:spacing w:line="360" w:lineRule="auto"/>
        <w:ind w:firstLine="480" w:firstLineChars="200"/>
        <w:rPr>
          <w:color w:val="auto"/>
          <w:sz w:val="24"/>
          <w:szCs w:val="24"/>
        </w:rPr>
      </w:pPr>
      <w:r>
        <w:rPr>
          <w:rFonts w:hint="eastAsia"/>
          <w:color w:val="auto"/>
          <w:sz w:val="24"/>
          <w:szCs w:val="24"/>
        </w:rPr>
        <w:t>（3）进入清算程序，或被宣告破产，或其他丧失履约能力的情形；</w:t>
      </w:r>
    </w:p>
    <w:p>
      <w:pPr>
        <w:spacing w:line="360" w:lineRule="auto"/>
        <w:ind w:firstLine="480" w:firstLineChars="200"/>
        <w:rPr>
          <w:color w:val="auto"/>
          <w:sz w:val="24"/>
          <w:szCs w:val="24"/>
        </w:rPr>
      </w:pPr>
      <w:r>
        <w:rPr>
          <w:rFonts w:hint="eastAsia"/>
          <w:color w:val="auto"/>
          <w:sz w:val="24"/>
          <w:szCs w:val="24"/>
        </w:rPr>
        <w:t>（4）在国家企业信用信息公示系统（http://www.gsxt.gov.cn/）中被列入严重违法失信企业名单；</w:t>
      </w:r>
    </w:p>
    <w:p>
      <w:pPr>
        <w:spacing w:line="360" w:lineRule="auto"/>
        <w:ind w:firstLine="480" w:firstLineChars="200"/>
        <w:rPr>
          <w:color w:val="auto"/>
          <w:sz w:val="24"/>
          <w:szCs w:val="24"/>
        </w:rPr>
      </w:pPr>
      <w:r>
        <w:rPr>
          <w:rFonts w:hint="eastAsia"/>
          <w:color w:val="auto"/>
          <w:sz w:val="24"/>
          <w:szCs w:val="24"/>
        </w:rPr>
        <w:t>（5）在“信用中国”网站（http://www.creditchina.gov.cn/）中被列入失信被执行人名单；</w:t>
      </w:r>
    </w:p>
    <w:p>
      <w:pPr>
        <w:spacing w:line="360" w:lineRule="auto"/>
        <w:ind w:firstLine="480" w:firstLineChars="200"/>
        <w:rPr>
          <w:rFonts w:hint="eastAsia"/>
          <w:color w:val="auto"/>
          <w:sz w:val="24"/>
          <w:szCs w:val="24"/>
          <w:lang w:val="en-US" w:eastAsia="zh-CN"/>
        </w:rPr>
      </w:pPr>
      <w:r>
        <w:rPr>
          <w:rFonts w:hint="eastAsia"/>
          <w:color w:val="auto"/>
          <w:sz w:val="24"/>
          <w:szCs w:val="24"/>
        </w:rPr>
        <w:t>（6）投标人或其法定代表人、拟委任的项目经理在近三年内有行贿犯罪行为的</w:t>
      </w:r>
      <w:r>
        <w:rPr>
          <w:rFonts w:hint="eastAsia"/>
          <w:color w:val="auto"/>
          <w:sz w:val="24"/>
          <w:szCs w:val="24"/>
          <w:lang w:eastAsia="zh-CN"/>
        </w:rPr>
        <w:t>（</w:t>
      </w:r>
      <w:r>
        <w:rPr>
          <w:rFonts w:hint="eastAsia"/>
          <w:color w:val="auto"/>
          <w:sz w:val="24"/>
          <w:szCs w:val="24"/>
        </w:rPr>
        <w:t>行贿犯罪行为的认定以检察机关职务犯罪预防部门出具的查询结果为准</w:t>
      </w:r>
      <w:r>
        <w:rPr>
          <w:rFonts w:hint="eastAsia"/>
          <w:color w:val="auto"/>
          <w:sz w:val="24"/>
          <w:szCs w:val="24"/>
          <w:lang w:eastAsia="zh-CN"/>
        </w:rPr>
        <w:t>）</w:t>
      </w:r>
      <w:r>
        <w:rPr>
          <w:rFonts w:hint="eastAsia"/>
          <w:color w:val="auto"/>
          <w:sz w:val="24"/>
          <w:szCs w:val="24"/>
          <w:lang w:val="en-US" w:eastAsia="zh-CN"/>
        </w:rPr>
        <w:t>；</w:t>
      </w:r>
    </w:p>
    <w:p>
      <w:pPr>
        <w:spacing w:line="360" w:lineRule="auto"/>
        <w:ind w:firstLine="480" w:firstLineChars="200"/>
        <w:rPr>
          <w:color w:val="auto"/>
          <w:sz w:val="24"/>
          <w:szCs w:val="24"/>
        </w:rPr>
      </w:pPr>
      <w:r>
        <w:rPr>
          <w:rFonts w:hint="eastAsia"/>
          <w:color w:val="auto"/>
          <w:sz w:val="24"/>
          <w:szCs w:val="24"/>
          <w:lang w:val="en-US" w:eastAsia="zh-CN"/>
        </w:rPr>
        <w:t>（7）</w:t>
      </w:r>
      <w:r>
        <w:rPr>
          <w:rFonts w:hint="eastAsia"/>
          <w:color w:val="auto"/>
          <w:sz w:val="24"/>
          <w:szCs w:val="24"/>
        </w:rPr>
        <w:t>法律法规或投标人须知前附表规定的其他情形。</w:t>
      </w:r>
    </w:p>
    <w:p>
      <w:pPr>
        <w:spacing w:line="360" w:lineRule="auto"/>
        <w:ind w:firstLine="480" w:firstLineChars="200"/>
        <w:rPr>
          <w:color w:val="auto"/>
        </w:rPr>
      </w:pPr>
      <w:r>
        <w:rPr>
          <w:rFonts w:hint="eastAsia"/>
          <w:color w:val="auto"/>
          <w:sz w:val="24"/>
          <w:szCs w:val="24"/>
        </w:rPr>
        <w:t>1.4.5投标人应进入交通运输部“全国公路建设市场信用信息管理系统（http：//glxy.mot.gov.cn）”中的公路工程施工资质企业名录，且投标人名称和资质与该名录中的相应企业名称和资质完全一致。投标人不满足本项规定条件的，将被否决投标。</w:t>
      </w:r>
    </w:p>
    <w:p>
      <w:pPr>
        <w:spacing w:line="360" w:lineRule="auto"/>
        <w:rPr>
          <w:b/>
          <w:bCs/>
          <w:color w:val="auto"/>
          <w:sz w:val="24"/>
          <w:szCs w:val="24"/>
        </w:rPr>
      </w:pPr>
      <w:r>
        <w:rPr>
          <w:rFonts w:hint="eastAsia"/>
          <w:b/>
          <w:bCs/>
          <w:color w:val="auto"/>
          <w:sz w:val="24"/>
          <w:szCs w:val="24"/>
        </w:rPr>
        <w:t>1.5费用承担</w:t>
      </w:r>
    </w:p>
    <w:p>
      <w:pPr>
        <w:spacing w:line="360" w:lineRule="auto"/>
        <w:rPr>
          <w:rFonts w:hint="eastAsia"/>
          <w:color w:val="auto"/>
          <w:sz w:val="24"/>
          <w:szCs w:val="24"/>
          <w:lang w:val="en-US"/>
        </w:rPr>
      </w:pPr>
      <w:r>
        <w:rPr>
          <w:rFonts w:hint="eastAsia"/>
          <w:color w:val="auto"/>
          <w:sz w:val="24"/>
          <w:szCs w:val="24"/>
          <w:lang w:val="en-US"/>
        </w:rPr>
        <w:t>投标人准备和参加投标活动发生的费用自理。</w:t>
      </w:r>
    </w:p>
    <w:p>
      <w:pPr>
        <w:spacing w:line="360" w:lineRule="auto"/>
        <w:rPr>
          <w:b/>
          <w:bCs/>
          <w:color w:val="auto"/>
          <w:sz w:val="24"/>
          <w:szCs w:val="24"/>
        </w:rPr>
      </w:pPr>
      <w:r>
        <w:rPr>
          <w:rFonts w:hint="eastAsia"/>
          <w:b/>
          <w:bCs/>
          <w:color w:val="auto"/>
          <w:sz w:val="24"/>
          <w:szCs w:val="24"/>
        </w:rPr>
        <w:t>1.6保密</w:t>
      </w:r>
    </w:p>
    <w:p>
      <w:pPr>
        <w:spacing w:line="360" w:lineRule="auto"/>
        <w:ind w:firstLine="480" w:firstLineChars="200"/>
        <w:rPr>
          <w:color w:val="auto"/>
          <w:sz w:val="24"/>
          <w:szCs w:val="24"/>
        </w:rPr>
      </w:pPr>
      <w:r>
        <w:rPr>
          <w:rFonts w:hint="eastAsia"/>
          <w:color w:val="auto"/>
          <w:sz w:val="24"/>
          <w:szCs w:val="24"/>
        </w:rPr>
        <w:t>参与招标投标活动的各方应对招标文件和投标文件中的商业和技术等秘密保密，否则应承担相应的法律责任。</w:t>
      </w:r>
    </w:p>
    <w:p>
      <w:pPr>
        <w:spacing w:line="360" w:lineRule="auto"/>
        <w:rPr>
          <w:b/>
          <w:bCs/>
          <w:color w:val="auto"/>
          <w:sz w:val="24"/>
          <w:szCs w:val="24"/>
        </w:rPr>
      </w:pPr>
      <w:r>
        <w:rPr>
          <w:rFonts w:hint="eastAsia"/>
          <w:b/>
          <w:bCs/>
          <w:color w:val="auto"/>
          <w:sz w:val="24"/>
          <w:szCs w:val="24"/>
        </w:rPr>
        <w:t>1.7语言文字</w:t>
      </w:r>
    </w:p>
    <w:p>
      <w:pPr>
        <w:spacing w:line="360" w:lineRule="auto"/>
        <w:rPr>
          <w:color w:val="auto"/>
          <w:sz w:val="24"/>
          <w:szCs w:val="24"/>
        </w:rPr>
      </w:pPr>
      <w:r>
        <w:rPr>
          <w:rFonts w:hint="eastAsia"/>
          <w:color w:val="auto"/>
          <w:sz w:val="24"/>
          <w:szCs w:val="24"/>
        </w:rPr>
        <w:t>招标投标文件使用的语言文字为中文。专用术语使用外文的，应附有中文注释。</w:t>
      </w:r>
    </w:p>
    <w:p>
      <w:pPr>
        <w:spacing w:line="360" w:lineRule="auto"/>
        <w:rPr>
          <w:b/>
          <w:bCs/>
          <w:color w:val="auto"/>
          <w:sz w:val="24"/>
          <w:szCs w:val="24"/>
        </w:rPr>
      </w:pPr>
      <w:r>
        <w:rPr>
          <w:rFonts w:hint="eastAsia"/>
          <w:b/>
          <w:bCs/>
          <w:color w:val="auto"/>
          <w:sz w:val="24"/>
          <w:szCs w:val="24"/>
        </w:rPr>
        <w:t>1.8计量单位</w:t>
      </w:r>
    </w:p>
    <w:p>
      <w:pPr>
        <w:spacing w:line="360" w:lineRule="auto"/>
        <w:ind w:firstLine="480" w:firstLineChars="200"/>
        <w:rPr>
          <w:color w:val="auto"/>
          <w:sz w:val="24"/>
          <w:szCs w:val="24"/>
        </w:rPr>
      </w:pPr>
      <w:r>
        <w:rPr>
          <w:rFonts w:hint="eastAsia"/>
          <w:color w:val="auto"/>
          <w:sz w:val="24"/>
        </w:rPr>
        <w:t>所有计量均采用中华人民共和国法定计量单位。</w:t>
      </w:r>
    </w:p>
    <w:p>
      <w:pPr>
        <w:spacing w:line="360" w:lineRule="auto"/>
        <w:rPr>
          <w:b/>
          <w:bCs/>
          <w:color w:val="auto"/>
          <w:sz w:val="24"/>
          <w:szCs w:val="24"/>
        </w:rPr>
      </w:pPr>
      <w:r>
        <w:rPr>
          <w:rFonts w:hint="eastAsia"/>
          <w:b/>
          <w:bCs/>
          <w:color w:val="auto"/>
          <w:sz w:val="24"/>
          <w:szCs w:val="24"/>
        </w:rPr>
        <w:t>1.9踏勘现场</w:t>
      </w:r>
    </w:p>
    <w:p>
      <w:pPr>
        <w:spacing w:line="360" w:lineRule="auto"/>
        <w:ind w:firstLine="480" w:firstLineChars="200"/>
        <w:rPr>
          <w:color w:val="auto"/>
          <w:sz w:val="24"/>
        </w:rPr>
      </w:pPr>
      <w:r>
        <w:rPr>
          <w:rFonts w:hint="eastAsia"/>
          <w:color w:val="auto"/>
          <w:sz w:val="24"/>
        </w:rPr>
        <w:t>1.9.1投标人</w:t>
      </w:r>
      <w:r>
        <w:rPr>
          <w:rFonts w:hint="eastAsia"/>
          <w:color w:val="auto"/>
          <w:sz w:val="24"/>
          <w:lang w:val="en-US"/>
        </w:rPr>
        <w:t>不</w:t>
      </w:r>
      <w:r>
        <w:rPr>
          <w:rFonts w:hint="eastAsia"/>
          <w:color w:val="auto"/>
          <w:sz w:val="24"/>
        </w:rPr>
        <w:t>组织踏勘现场。</w:t>
      </w:r>
    </w:p>
    <w:p>
      <w:pPr>
        <w:spacing w:line="360" w:lineRule="auto"/>
        <w:ind w:firstLine="480" w:firstLineChars="200"/>
        <w:rPr>
          <w:color w:val="auto"/>
          <w:sz w:val="24"/>
        </w:rPr>
      </w:pPr>
      <w:r>
        <w:rPr>
          <w:rFonts w:hint="eastAsia"/>
          <w:color w:val="auto"/>
          <w:sz w:val="24"/>
        </w:rPr>
        <w:t>1.9.2投标人踏勘现场发生的费用自理。</w:t>
      </w:r>
    </w:p>
    <w:p>
      <w:pPr>
        <w:spacing w:line="360" w:lineRule="auto"/>
        <w:ind w:firstLine="480" w:firstLineChars="200"/>
        <w:rPr>
          <w:color w:val="auto"/>
          <w:sz w:val="24"/>
        </w:rPr>
      </w:pPr>
      <w:r>
        <w:rPr>
          <w:rFonts w:hint="eastAsia"/>
          <w:color w:val="auto"/>
          <w:sz w:val="24"/>
        </w:rPr>
        <w:t>1.9.3除招标人的原因外，投标人自行负责在踏勘现场中所发生的人员伤亡和财产损失。</w:t>
      </w:r>
    </w:p>
    <w:p>
      <w:pPr>
        <w:spacing w:line="360" w:lineRule="auto"/>
        <w:ind w:firstLine="480" w:firstLineChars="200"/>
        <w:rPr>
          <w:color w:val="auto"/>
          <w:sz w:val="24"/>
        </w:rPr>
      </w:pPr>
      <w:r>
        <w:rPr>
          <w:rFonts w:hint="eastAsia"/>
          <w:color w:val="auto"/>
          <w:sz w:val="24"/>
        </w:rPr>
        <w:t>1.9.4招标人在踏勘现场中介绍的工程场地和相关的周边环境情况，供投标人在编制投标文件时参考，招标人不对投标人据此作出的判断和决策负责。</w:t>
      </w:r>
    </w:p>
    <w:p>
      <w:pPr>
        <w:spacing w:line="360" w:lineRule="auto"/>
        <w:ind w:firstLine="480" w:firstLineChars="200"/>
        <w:rPr>
          <w:color w:val="auto"/>
          <w:sz w:val="24"/>
        </w:rPr>
      </w:pPr>
      <w:r>
        <w:rPr>
          <w:rFonts w:hint="eastAsia"/>
          <w:color w:val="auto"/>
          <w:sz w:val="24"/>
        </w:rPr>
        <w:t>1.9.5招标人提供的本合同工程的水文、地质、气象和料场分布、取土场、弃土场位置等参考资料，并不构成合同文件的组成部分，投标人应对自己对上述资料的解释、推论和应用负责，招标人不对投标人据此作出的判断和决策承担任何责任。</w:t>
      </w:r>
    </w:p>
    <w:p>
      <w:pPr>
        <w:spacing w:line="360" w:lineRule="auto"/>
        <w:rPr>
          <w:b/>
          <w:bCs/>
          <w:color w:val="auto"/>
          <w:sz w:val="24"/>
          <w:szCs w:val="24"/>
        </w:rPr>
      </w:pPr>
      <w:r>
        <w:rPr>
          <w:rFonts w:hint="eastAsia"/>
          <w:b/>
          <w:bCs/>
          <w:color w:val="auto"/>
          <w:sz w:val="24"/>
          <w:szCs w:val="24"/>
        </w:rPr>
        <w:t>1.10投标预备会</w:t>
      </w:r>
    </w:p>
    <w:p>
      <w:pPr>
        <w:spacing w:line="360" w:lineRule="auto"/>
        <w:ind w:firstLine="480" w:firstLineChars="200"/>
        <w:rPr>
          <w:color w:val="auto"/>
          <w:sz w:val="24"/>
        </w:rPr>
      </w:pPr>
      <w:r>
        <w:rPr>
          <w:rFonts w:hint="eastAsia"/>
          <w:color w:val="auto"/>
          <w:sz w:val="24"/>
        </w:rPr>
        <w:t>1.10.1投标人</w:t>
      </w:r>
      <w:r>
        <w:rPr>
          <w:rFonts w:hint="eastAsia"/>
          <w:color w:val="auto"/>
          <w:sz w:val="24"/>
          <w:lang w:val="en-US"/>
        </w:rPr>
        <w:t>不</w:t>
      </w:r>
      <w:r>
        <w:rPr>
          <w:rFonts w:hint="eastAsia"/>
          <w:color w:val="auto"/>
          <w:sz w:val="24"/>
        </w:rPr>
        <w:t>召开投标预备会。</w:t>
      </w:r>
    </w:p>
    <w:p>
      <w:pPr>
        <w:spacing w:line="360" w:lineRule="auto"/>
        <w:ind w:firstLine="480" w:firstLineChars="200"/>
        <w:rPr>
          <w:color w:val="auto"/>
          <w:sz w:val="24"/>
        </w:rPr>
      </w:pPr>
      <w:r>
        <w:rPr>
          <w:rFonts w:hint="eastAsia"/>
          <w:color w:val="auto"/>
          <w:sz w:val="24"/>
        </w:rPr>
        <w:t>1.10.2投标人应在投标人须知前附表规定的时间前，以书面形式将提出的问题送达招标人，以便招标人在会议期间澄清。</w:t>
      </w:r>
    </w:p>
    <w:p>
      <w:pPr>
        <w:spacing w:line="360" w:lineRule="auto"/>
        <w:ind w:firstLine="480" w:firstLineChars="200"/>
        <w:rPr>
          <w:color w:val="auto"/>
          <w:sz w:val="24"/>
          <w:szCs w:val="24"/>
        </w:rPr>
      </w:pPr>
      <w:r>
        <w:rPr>
          <w:rFonts w:hint="eastAsia"/>
          <w:color w:val="auto"/>
          <w:sz w:val="24"/>
        </w:rPr>
        <w:t>1.10.3投标预备会后，招标人在投标人须知前附表规定的时间内，将对投标人所提问题的澄清，以书面方式通知所有购买招标文件的投标人。该澄清内容为招标文件的组成部分。</w:t>
      </w:r>
    </w:p>
    <w:p>
      <w:pPr>
        <w:spacing w:line="360" w:lineRule="auto"/>
        <w:rPr>
          <w:b/>
          <w:bCs/>
          <w:color w:val="auto"/>
          <w:sz w:val="24"/>
          <w:szCs w:val="24"/>
        </w:rPr>
      </w:pPr>
      <w:r>
        <w:rPr>
          <w:rFonts w:hint="eastAsia"/>
          <w:b/>
          <w:bCs/>
          <w:color w:val="auto"/>
          <w:sz w:val="24"/>
          <w:szCs w:val="24"/>
        </w:rPr>
        <w:t>1.11分包</w:t>
      </w:r>
    </w:p>
    <w:p>
      <w:pPr>
        <w:spacing w:line="360" w:lineRule="auto"/>
        <w:ind w:firstLine="480" w:firstLineChars="200"/>
        <w:rPr>
          <w:color w:val="auto"/>
          <w:sz w:val="24"/>
          <w:szCs w:val="24"/>
        </w:rPr>
      </w:pPr>
      <w:r>
        <w:rPr>
          <w:rFonts w:hint="eastAsia"/>
          <w:color w:val="auto"/>
          <w:sz w:val="24"/>
          <w:szCs w:val="24"/>
        </w:rPr>
        <w:t>1.11.1投标人拟在中标后将中标项目的部分非主体、非关键性工作进行分包的，应符合以下规定：</w:t>
      </w:r>
    </w:p>
    <w:p>
      <w:pPr>
        <w:spacing w:line="360" w:lineRule="auto"/>
        <w:ind w:firstLine="480" w:firstLineChars="200"/>
        <w:rPr>
          <w:color w:val="auto"/>
          <w:sz w:val="24"/>
          <w:szCs w:val="24"/>
        </w:rPr>
      </w:pPr>
      <w:r>
        <w:rPr>
          <w:rFonts w:hint="eastAsia"/>
          <w:color w:val="auto"/>
          <w:sz w:val="24"/>
          <w:szCs w:val="24"/>
        </w:rPr>
        <w:t>（1）分包内容要求：允许分包的工程范围仅限于非关键性工程或适合专业化队伍施工的专项工程。招标人允许分包或不允许分包的专项工程（如有）应在投标人须知前附表中载明。</w:t>
      </w:r>
    </w:p>
    <w:p>
      <w:pPr>
        <w:spacing w:line="360" w:lineRule="auto"/>
        <w:ind w:firstLine="480" w:firstLineChars="200"/>
        <w:rPr>
          <w:color w:val="auto"/>
          <w:sz w:val="24"/>
          <w:szCs w:val="24"/>
        </w:rPr>
      </w:pPr>
      <w:r>
        <w:rPr>
          <w:rFonts w:hint="eastAsia"/>
          <w:color w:val="auto"/>
          <w:sz w:val="24"/>
          <w:szCs w:val="24"/>
        </w:rPr>
        <w:t>（2）接受分包的第三人资格要求：分包人的资格能力应与其分包工程的标准和规模相适应，且具备投标人须知前附表中规定的资格条件。</w:t>
      </w:r>
    </w:p>
    <w:p>
      <w:pPr>
        <w:spacing w:line="360" w:lineRule="auto"/>
        <w:ind w:firstLine="480" w:firstLineChars="200"/>
        <w:rPr>
          <w:color w:val="auto"/>
          <w:sz w:val="24"/>
          <w:szCs w:val="24"/>
        </w:rPr>
      </w:pPr>
      <w:r>
        <w:rPr>
          <w:rFonts w:hint="eastAsia"/>
          <w:color w:val="auto"/>
          <w:sz w:val="24"/>
          <w:szCs w:val="24"/>
        </w:rPr>
        <w:t>（3）其他要求：投标人如有分包计划，应按第九章“投标文件格式”的要求填写“拟分包项目情况表”，明确拟分包的工程及规模，且投标人中标后的分包应满足合同条款第4.3款的相关要求。</w:t>
      </w:r>
    </w:p>
    <w:p>
      <w:pPr>
        <w:spacing w:line="360" w:lineRule="auto"/>
        <w:ind w:firstLine="480" w:firstLineChars="200"/>
        <w:rPr>
          <w:color w:val="auto"/>
          <w:sz w:val="24"/>
          <w:szCs w:val="24"/>
        </w:rPr>
      </w:pPr>
      <w:r>
        <w:rPr>
          <w:rFonts w:hint="eastAsia"/>
          <w:color w:val="auto"/>
          <w:sz w:val="24"/>
          <w:szCs w:val="24"/>
        </w:rPr>
        <w:t>1.11.2中标人不得向他人转让中标项目，接受分包的人不得再次分包。中标人应就分包项目向招标人负责，接受分包的人就分包项目承担连带责任。</w:t>
      </w:r>
    </w:p>
    <w:p>
      <w:pPr>
        <w:spacing w:line="360" w:lineRule="auto"/>
        <w:rPr>
          <w:rFonts w:hint="eastAsia" w:eastAsia="宋体"/>
          <w:b/>
          <w:bCs/>
          <w:color w:val="auto"/>
          <w:sz w:val="24"/>
          <w:szCs w:val="24"/>
          <w:lang w:eastAsia="zh-CN"/>
        </w:rPr>
      </w:pPr>
      <w:r>
        <w:rPr>
          <w:rFonts w:hint="eastAsia"/>
          <w:b/>
          <w:bCs/>
          <w:color w:val="auto"/>
          <w:sz w:val="24"/>
          <w:szCs w:val="24"/>
        </w:rPr>
        <w:t>1.12偏</w:t>
      </w:r>
      <w:r>
        <w:rPr>
          <w:rFonts w:hint="eastAsia"/>
          <w:b/>
          <w:bCs/>
          <w:color w:val="auto"/>
          <w:sz w:val="24"/>
          <w:szCs w:val="24"/>
          <w:lang w:val="en-US" w:eastAsia="zh-CN"/>
        </w:rPr>
        <w:t>离</w:t>
      </w:r>
    </w:p>
    <w:p>
      <w:pPr>
        <w:spacing w:line="360" w:lineRule="auto"/>
        <w:ind w:firstLine="480" w:firstLineChars="200"/>
        <w:rPr>
          <w:color w:val="auto"/>
          <w:sz w:val="24"/>
          <w:szCs w:val="24"/>
        </w:rPr>
      </w:pPr>
      <w:r>
        <w:rPr>
          <w:rFonts w:hint="eastAsia"/>
          <w:color w:val="auto"/>
          <w:sz w:val="24"/>
          <w:szCs w:val="24"/>
        </w:rPr>
        <w:t>1.12.1投标文件偏离招标文件某些要求，视为投标文件存在偏差。偏差包括重大偏差和细微偏差。</w:t>
      </w:r>
    </w:p>
    <w:p>
      <w:pPr>
        <w:spacing w:line="360" w:lineRule="auto"/>
        <w:ind w:firstLine="480" w:firstLineChars="200"/>
        <w:rPr>
          <w:color w:val="auto"/>
          <w:sz w:val="24"/>
          <w:szCs w:val="24"/>
        </w:rPr>
      </w:pPr>
      <w:r>
        <w:rPr>
          <w:rFonts w:hint="eastAsia"/>
          <w:color w:val="auto"/>
          <w:sz w:val="24"/>
          <w:szCs w:val="24"/>
        </w:rPr>
        <w:t>1.12.2投标文件应对招标文件的实质性要求和条件作出满足性或更有利于招标人的响应，否则，视为投标文件存在重大偏差，投标人的投标将被否决。</w:t>
      </w:r>
    </w:p>
    <w:p>
      <w:pPr>
        <w:spacing w:line="360" w:lineRule="auto"/>
        <w:rPr>
          <w:color w:val="auto"/>
          <w:sz w:val="24"/>
          <w:szCs w:val="24"/>
        </w:rPr>
      </w:pPr>
      <w:r>
        <w:rPr>
          <w:rFonts w:hint="eastAsia"/>
          <w:color w:val="auto"/>
          <w:sz w:val="24"/>
          <w:szCs w:val="24"/>
        </w:rPr>
        <w:t>投标文件存在第三章“评标办法”中所列任一否决投标情形的，均属于存在重大偏差。</w:t>
      </w:r>
    </w:p>
    <w:p>
      <w:pPr>
        <w:spacing w:line="360" w:lineRule="auto"/>
        <w:ind w:firstLine="480" w:firstLineChars="200"/>
        <w:rPr>
          <w:color w:val="auto"/>
          <w:sz w:val="24"/>
          <w:szCs w:val="24"/>
        </w:rPr>
      </w:pPr>
      <w:r>
        <w:rPr>
          <w:rFonts w:hint="eastAsia"/>
          <w:color w:val="auto"/>
          <w:sz w:val="24"/>
          <w:szCs w:val="24"/>
        </w:rPr>
        <w:t>1.12.3投标文件中的下列偏差为细微偏差：</w:t>
      </w:r>
    </w:p>
    <w:p>
      <w:pPr>
        <w:spacing w:line="360" w:lineRule="auto"/>
        <w:ind w:firstLine="480" w:firstLineChars="200"/>
        <w:rPr>
          <w:color w:val="auto"/>
          <w:sz w:val="24"/>
          <w:szCs w:val="24"/>
        </w:rPr>
      </w:pPr>
      <w:r>
        <w:rPr>
          <w:rFonts w:hint="eastAsia"/>
          <w:color w:val="auto"/>
          <w:sz w:val="24"/>
          <w:szCs w:val="24"/>
        </w:rPr>
        <w:t>（1）在按照第三章“评标办法”的规定对投标价进行算术性错误修正及其他错误修正后，最终投标报价未超过最高投标限价（如有）的情况下，出现第三章“评标办法”规定的算术性错误和投标报价的其他错误；</w:t>
      </w:r>
    </w:p>
    <w:p>
      <w:pPr>
        <w:spacing w:line="360" w:lineRule="auto"/>
        <w:ind w:firstLine="480" w:firstLineChars="200"/>
        <w:rPr>
          <w:color w:val="auto"/>
          <w:sz w:val="24"/>
          <w:szCs w:val="24"/>
        </w:rPr>
      </w:pPr>
      <w:r>
        <w:rPr>
          <w:rFonts w:hint="eastAsia"/>
          <w:color w:val="auto"/>
          <w:sz w:val="24"/>
          <w:szCs w:val="24"/>
        </w:rPr>
        <w:t>（2）施工组织设计（含关键工程技术方案）和项目管理机构不够完善；</w:t>
      </w:r>
    </w:p>
    <w:p>
      <w:pPr>
        <w:spacing w:line="360" w:lineRule="auto"/>
        <w:ind w:firstLine="480" w:firstLineChars="200"/>
        <w:rPr>
          <w:color w:val="auto"/>
          <w:sz w:val="24"/>
          <w:szCs w:val="24"/>
        </w:rPr>
      </w:pPr>
      <w:r>
        <w:rPr>
          <w:rFonts w:hint="eastAsia"/>
          <w:color w:val="auto"/>
          <w:sz w:val="24"/>
          <w:szCs w:val="24"/>
        </w:rPr>
        <w:t>（3）投标文件页码不连续、采用活页夹装订、个别文字有遗漏错误等不影响投标文件实质性内容的偏差。</w:t>
      </w:r>
    </w:p>
    <w:p>
      <w:pPr>
        <w:spacing w:line="360" w:lineRule="auto"/>
        <w:ind w:firstLine="480" w:firstLineChars="200"/>
        <w:rPr>
          <w:color w:val="auto"/>
          <w:sz w:val="24"/>
          <w:szCs w:val="24"/>
        </w:rPr>
      </w:pPr>
      <w:r>
        <w:rPr>
          <w:rFonts w:hint="eastAsia"/>
          <w:color w:val="auto"/>
          <w:sz w:val="24"/>
          <w:szCs w:val="24"/>
        </w:rPr>
        <w:t>1.12.4评标委员会对投标文件中的细微偏差按如下规定处理：</w:t>
      </w:r>
    </w:p>
    <w:p>
      <w:pPr>
        <w:spacing w:line="360" w:lineRule="auto"/>
        <w:ind w:firstLine="480" w:firstLineChars="200"/>
        <w:rPr>
          <w:color w:val="auto"/>
          <w:sz w:val="24"/>
          <w:szCs w:val="24"/>
        </w:rPr>
      </w:pPr>
      <w:r>
        <w:rPr>
          <w:rFonts w:hint="eastAsia"/>
          <w:color w:val="auto"/>
          <w:sz w:val="24"/>
          <w:szCs w:val="24"/>
        </w:rPr>
        <w:t>（1）对于本章第1.12.3项（1）目所述的细微偏差，按照第三章“评标办法”的规定予以修正并要求投标人进行澄清；</w:t>
      </w:r>
    </w:p>
    <w:p>
      <w:pPr>
        <w:spacing w:line="360" w:lineRule="auto"/>
        <w:ind w:firstLine="480" w:firstLineChars="200"/>
        <w:rPr>
          <w:color w:val="auto"/>
          <w:sz w:val="24"/>
          <w:szCs w:val="24"/>
        </w:rPr>
      </w:pPr>
      <w:r>
        <w:rPr>
          <w:rFonts w:hint="eastAsia"/>
          <w:color w:val="auto"/>
          <w:sz w:val="24"/>
          <w:szCs w:val="24"/>
        </w:rPr>
        <w:t>（2）对于本章第1.12.3项（2）目所述的细微偏差，如果采用合理低价法或经评审的最低投标价法评标，应要求投标人对细微偏差进行澄清，只有投标人的澄清文件被评标委员会接受，投标人才能参加评标价的最终评比。如果采用技术评分最低标价法或综合评分法评标，可在相关评分因素的评分中酌情扣分；</w:t>
      </w:r>
    </w:p>
    <w:p>
      <w:pPr>
        <w:spacing w:line="360" w:lineRule="auto"/>
        <w:ind w:firstLine="480" w:firstLineChars="200"/>
        <w:rPr>
          <w:color w:val="auto"/>
          <w:sz w:val="24"/>
          <w:szCs w:val="24"/>
        </w:rPr>
      </w:pPr>
      <w:r>
        <w:rPr>
          <w:rFonts w:hint="eastAsia"/>
          <w:color w:val="auto"/>
          <w:sz w:val="24"/>
          <w:szCs w:val="24"/>
        </w:rPr>
        <w:t>（3）对于本章第1.12.3项（3）目所述的细微偏差，可要求投标人对细微偏差进行澄清。</w:t>
      </w:r>
    </w:p>
    <w:p>
      <w:pPr>
        <w:spacing w:line="360" w:lineRule="auto"/>
        <w:ind w:firstLine="480" w:firstLineChars="200"/>
        <w:rPr>
          <w:rFonts w:hint="eastAsia"/>
          <w:color w:val="auto"/>
          <w:sz w:val="28"/>
          <w:szCs w:val="28"/>
        </w:rPr>
      </w:pPr>
      <w:r>
        <w:rPr>
          <w:rFonts w:hint="eastAsia"/>
          <w:color w:val="auto"/>
          <w:sz w:val="24"/>
          <w:szCs w:val="24"/>
        </w:rPr>
        <w:t>1.12.5投标人应根据招标文件的要求提供施工组织设计等内容以对招标文件作出响应。</w:t>
      </w:r>
    </w:p>
    <w:p>
      <w:pPr>
        <w:spacing w:line="360" w:lineRule="auto"/>
        <w:rPr>
          <w:rFonts w:hint="eastAsia"/>
          <w:b/>
          <w:bCs/>
          <w:color w:val="auto"/>
          <w:sz w:val="28"/>
          <w:szCs w:val="28"/>
        </w:rPr>
      </w:pPr>
      <w:r>
        <w:rPr>
          <w:rFonts w:hint="eastAsia"/>
          <w:b/>
          <w:bCs/>
          <w:color w:val="auto"/>
          <w:sz w:val="28"/>
          <w:szCs w:val="28"/>
        </w:rPr>
        <w:t>2.招标文件</w:t>
      </w:r>
    </w:p>
    <w:p>
      <w:pPr>
        <w:spacing w:line="360" w:lineRule="auto"/>
        <w:rPr>
          <w:b/>
          <w:bCs/>
          <w:color w:val="auto"/>
          <w:sz w:val="24"/>
          <w:szCs w:val="24"/>
        </w:rPr>
      </w:pPr>
      <w:r>
        <w:rPr>
          <w:rFonts w:hint="eastAsia"/>
          <w:b/>
          <w:bCs/>
          <w:color w:val="auto"/>
          <w:sz w:val="24"/>
          <w:szCs w:val="24"/>
        </w:rPr>
        <w:t>2.1招标文件的组成</w:t>
      </w:r>
    </w:p>
    <w:p>
      <w:pPr>
        <w:spacing w:line="360" w:lineRule="auto"/>
        <w:rPr>
          <w:color w:val="auto"/>
          <w:sz w:val="24"/>
          <w:szCs w:val="24"/>
        </w:rPr>
      </w:pPr>
      <w:r>
        <w:rPr>
          <w:rFonts w:hint="eastAsia"/>
          <w:color w:val="auto"/>
          <w:sz w:val="24"/>
          <w:szCs w:val="24"/>
        </w:rPr>
        <w:t>本招标文件包括：</w:t>
      </w:r>
    </w:p>
    <w:p>
      <w:pPr>
        <w:spacing w:line="360" w:lineRule="auto"/>
        <w:rPr>
          <w:color w:val="auto"/>
          <w:sz w:val="24"/>
          <w:szCs w:val="24"/>
        </w:rPr>
      </w:pPr>
      <w:r>
        <w:rPr>
          <w:rFonts w:hint="eastAsia"/>
          <w:color w:val="auto"/>
          <w:sz w:val="24"/>
          <w:szCs w:val="24"/>
        </w:rPr>
        <w:t>（1）招标公告；</w:t>
      </w:r>
    </w:p>
    <w:p>
      <w:pPr>
        <w:spacing w:line="360" w:lineRule="auto"/>
        <w:rPr>
          <w:color w:val="auto"/>
          <w:sz w:val="24"/>
          <w:szCs w:val="24"/>
        </w:rPr>
      </w:pPr>
      <w:r>
        <w:rPr>
          <w:rFonts w:hint="eastAsia"/>
          <w:color w:val="auto"/>
          <w:sz w:val="24"/>
          <w:szCs w:val="24"/>
        </w:rPr>
        <w:t>（2）投标人须知；</w:t>
      </w:r>
    </w:p>
    <w:p>
      <w:pPr>
        <w:spacing w:line="360" w:lineRule="auto"/>
        <w:rPr>
          <w:color w:val="auto"/>
          <w:sz w:val="24"/>
          <w:szCs w:val="24"/>
        </w:rPr>
      </w:pPr>
      <w:r>
        <w:rPr>
          <w:rFonts w:hint="eastAsia"/>
          <w:color w:val="auto"/>
          <w:sz w:val="24"/>
          <w:szCs w:val="24"/>
        </w:rPr>
        <w:t>（3）评标办法；</w:t>
      </w:r>
    </w:p>
    <w:p>
      <w:pPr>
        <w:spacing w:line="360" w:lineRule="auto"/>
        <w:rPr>
          <w:color w:val="auto"/>
          <w:sz w:val="24"/>
          <w:szCs w:val="24"/>
        </w:rPr>
      </w:pPr>
      <w:r>
        <w:rPr>
          <w:rFonts w:hint="eastAsia"/>
          <w:color w:val="auto"/>
          <w:sz w:val="24"/>
          <w:szCs w:val="24"/>
        </w:rPr>
        <w:t>（4）合同条款及格式；</w:t>
      </w:r>
    </w:p>
    <w:p>
      <w:pPr>
        <w:spacing w:line="360" w:lineRule="auto"/>
        <w:rPr>
          <w:color w:val="auto"/>
          <w:sz w:val="24"/>
          <w:szCs w:val="24"/>
        </w:rPr>
      </w:pPr>
      <w:r>
        <w:rPr>
          <w:rFonts w:hint="eastAsia"/>
          <w:color w:val="auto"/>
          <w:sz w:val="24"/>
          <w:szCs w:val="24"/>
        </w:rPr>
        <w:t>（5）工程量清单；</w:t>
      </w:r>
    </w:p>
    <w:p>
      <w:pPr>
        <w:spacing w:line="360" w:lineRule="auto"/>
        <w:rPr>
          <w:color w:val="auto"/>
          <w:sz w:val="24"/>
          <w:szCs w:val="24"/>
        </w:rPr>
      </w:pPr>
      <w:r>
        <w:rPr>
          <w:rFonts w:hint="eastAsia"/>
          <w:color w:val="auto"/>
          <w:sz w:val="24"/>
          <w:szCs w:val="24"/>
        </w:rPr>
        <w:t>（6）图纸；</w:t>
      </w:r>
    </w:p>
    <w:p>
      <w:pPr>
        <w:spacing w:line="360" w:lineRule="auto"/>
        <w:rPr>
          <w:color w:val="auto"/>
          <w:sz w:val="24"/>
          <w:szCs w:val="24"/>
        </w:rPr>
      </w:pPr>
      <w:r>
        <w:rPr>
          <w:rFonts w:hint="eastAsia"/>
          <w:color w:val="auto"/>
          <w:sz w:val="24"/>
          <w:szCs w:val="24"/>
        </w:rPr>
        <w:t>（7）技术规范；</w:t>
      </w:r>
    </w:p>
    <w:p>
      <w:pPr>
        <w:spacing w:line="360" w:lineRule="auto"/>
        <w:rPr>
          <w:color w:val="auto"/>
          <w:sz w:val="24"/>
          <w:szCs w:val="24"/>
        </w:rPr>
      </w:pPr>
      <w:r>
        <w:rPr>
          <w:rFonts w:hint="eastAsia"/>
          <w:color w:val="auto"/>
          <w:sz w:val="24"/>
          <w:szCs w:val="24"/>
        </w:rPr>
        <w:t>（8）工程量清单计量规则；</w:t>
      </w:r>
    </w:p>
    <w:p>
      <w:pPr>
        <w:spacing w:line="360" w:lineRule="auto"/>
        <w:rPr>
          <w:color w:val="auto"/>
          <w:sz w:val="24"/>
          <w:szCs w:val="24"/>
        </w:rPr>
      </w:pPr>
      <w:r>
        <w:rPr>
          <w:rFonts w:hint="eastAsia"/>
          <w:color w:val="auto"/>
          <w:sz w:val="24"/>
          <w:szCs w:val="24"/>
        </w:rPr>
        <w:t>（9）投标文件格式；</w:t>
      </w:r>
    </w:p>
    <w:p>
      <w:pPr>
        <w:spacing w:line="360" w:lineRule="auto"/>
        <w:rPr>
          <w:color w:val="auto"/>
          <w:sz w:val="24"/>
          <w:szCs w:val="24"/>
        </w:rPr>
      </w:pPr>
      <w:r>
        <w:rPr>
          <w:rFonts w:hint="eastAsia"/>
          <w:color w:val="auto"/>
          <w:sz w:val="24"/>
          <w:szCs w:val="24"/>
        </w:rPr>
        <w:t>（10）投标人须知前附表规定的其他资料。</w:t>
      </w:r>
    </w:p>
    <w:p>
      <w:pPr>
        <w:spacing w:line="360" w:lineRule="auto"/>
        <w:ind w:firstLine="480" w:firstLineChars="200"/>
        <w:rPr>
          <w:color w:val="auto"/>
          <w:sz w:val="24"/>
          <w:szCs w:val="24"/>
        </w:rPr>
      </w:pPr>
      <w:r>
        <w:rPr>
          <w:rFonts w:hint="eastAsia"/>
          <w:color w:val="auto"/>
          <w:sz w:val="24"/>
          <w:szCs w:val="24"/>
        </w:rPr>
        <w:t>根据本章第1.10款、第2.2款和第2.3款对招标文件所作的澄清、修改，构成招标文件的组成部分。</w:t>
      </w:r>
    </w:p>
    <w:p>
      <w:pPr>
        <w:spacing w:line="360" w:lineRule="auto"/>
        <w:ind w:firstLine="480" w:firstLineChars="200"/>
        <w:rPr>
          <w:rFonts w:hint="eastAsia"/>
          <w:color w:val="auto"/>
          <w:sz w:val="24"/>
          <w:szCs w:val="24"/>
        </w:rPr>
      </w:pPr>
      <w:r>
        <w:rPr>
          <w:rFonts w:hint="eastAsia"/>
          <w:color w:val="auto"/>
          <w:sz w:val="24"/>
          <w:szCs w:val="24"/>
        </w:rPr>
        <w:t>当招标文件、招标文件的澄清或修改等在同一内容的表述上不一致时，以最后发出的书面文件为准。</w:t>
      </w:r>
    </w:p>
    <w:p>
      <w:pPr>
        <w:spacing w:line="360" w:lineRule="auto"/>
        <w:rPr>
          <w:b/>
          <w:bCs/>
          <w:color w:val="auto"/>
          <w:sz w:val="24"/>
          <w:szCs w:val="24"/>
        </w:rPr>
      </w:pPr>
      <w:r>
        <w:rPr>
          <w:rFonts w:hint="eastAsia"/>
          <w:b/>
          <w:bCs/>
          <w:color w:val="auto"/>
          <w:sz w:val="24"/>
          <w:szCs w:val="24"/>
        </w:rPr>
        <w:t>2.2招标文件的澄清</w:t>
      </w:r>
    </w:p>
    <w:p>
      <w:pPr>
        <w:spacing w:line="360" w:lineRule="auto"/>
        <w:ind w:firstLine="480" w:firstLineChars="200"/>
        <w:rPr>
          <w:rFonts w:hint="eastAsia"/>
          <w:color w:val="auto"/>
          <w:sz w:val="24"/>
          <w:szCs w:val="24"/>
        </w:rPr>
      </w:pPr>
      <w:r>
        <w:rPr>
          <w:rFonts w:hint="eastAsia"/>
          <w:color w:val="auto"/>
          <w:sz w:val="24"/>
          <w:szCs w:val="24"/>
          <w:lang w:val="en-US" w:eastAsia="zh-CN"/>
        </w:rPr>
        <w:t>2.2.1投标人应仔细阅读和检查招标文件的全部内容，如发现缺页或附件不全，应及时向招标人提出，以便补齐。如有疑问，以书面形式向招标人或招标代理机构提出，要求招标人对招标文件予以澄清。按投标人须知前附表规定时限停止质疑。</w:t>
      </w:r>
    </w:p>
    <w:p>
      <w:pPr>
        <w:spacing w:line="360" w:lineRule="auto"/>
        <w:ind w:firstLine="480" w:firstLineChars="200"/>
        <w:rPr>
          <w:rFonts w:hint="eastAsia"/>
          <w:color w:val="auto"/>
          <w:sz w:val="24"/>
          <w:szCs w:val="24"/>
        </w:rPr>
      </w:pPr>
      <w:r>
        <w:rPr>
          <w:rFonts w:hint="eastAsia"/>
          <w:color w:val="auto"/>
          <w:sz w:val="24"/>
          <w:szCs w:val="24"/>
          <w:lang w:val="en-US" w:eastAsia="zh-CN"/>
        </w:rPr>
        <w:t>2.2.2招标文件的澄清将在投标截止时间15天前，在广东省招标投标监管网和汕尾市公共资源交易中心门户网站上发布通知，但不指明澄清问题的来源。招标人的澄清在广东省招标投标监管网和汕尾市公共资源交易中心门户网站发布，即视为送达所有投标人。</w:t>
      </w:r>
    </w:p>
    <w:p>
      <w:pPr>
        <w:spacing w:line="360" w:lineRule="auto"/>
        <w:ind w:firstLine="480" w:firstLineChars="200"/>
        <w:rPr>
          <w:rFonts w:hint="eastAsia"/>
        </w:rPr>
      </w:pPr>
      <w:r>
        <w:rPr>
          <w:rFonts w:hint="eastAsia"/>
          <w:color w:val="auto"/>
          <w:sz w:val="24"/>
          <w:szCs w:val="24"/>
          <w:lang w:val="en-US" w:eastAsia="zh-CN"/>
        </w:rPr>
        <w:t>2.2.3不论是招标人根据需要主动对招标文件进行必要的澄清或是根据投标人的要求对招标文件做出澄清，补遗文件作为招标文件的组成部分，具有同等法律效力。</w:t>
      </w:r>
    </w:p>
    <w:p>
      <w:pPr>
        <w:spacing w:line="360" w:lineRule="auto"/>
        <w:rPr>
          <w:b/>
          <w:bCs/>
          <w:color w:val="auto"/>
          <w:sz w:val="24"/>
          <w:szCs w:val="24"/>
        </w:rPr>
      </w:pPr>
      <w:r>
        <w:rPr>
          <w:rFonts w:hint="eastAsia"/>
          <w:b/>
          <w:bCs/>
          <w:color w:val="auto"/>
          <w:sz w:val="24"/>
          <w:szCs w:val="24"/>
        </w:rPr>
        <w:t>2.3招标文件的修改</w:t>
      </w:r>
    </w:p>
    <w:p>
      <w:pPr>
        <w:keepNext w:val="0"/>
        <w:keepLines w:val="0"/>
        <w:widowControl/>
        <w:suppressLineNumbers w:val="0"/>
        <w:ind w:firstLine="480" w:firstLineChars="200"/>
        <w:jc w:val="left"/>
        <w:rPr>
          <w:rFonts w:hint="eastAsia"/>
          <w:color w:val="auto"/>
          <w:sz w:val="24"/>
          <w:szCs w:val="24"/>
        </w:rPr>
      </w:pPr>
      <w:r>
        <w:rPr>
          <w:rFonts w:hint="eastAsia"/>
          <w:color w:val="auto"/>
          <w:sz w:val="24"/>
          <w:szCs w:val="24"/>
          <w:lang w:val="en-US" w:eastAsia="zh-CN"/>
        </w:rPr>
        <w:t>2.3.1在投标人须知前附表规定的投标截止时间15天前，招标人可以修改招标文件，修改内容在广东省招标投标监管网和汕尾市公共资源交易中心门户网站上发布。如果修改招标文件的时间距投标截止时间不足15天，相应延长投标截止时间。招标文件的修改在广东省招标投标监管网和汕尾市公共资源交易中心门户网站发布，即视为送达所有投标人。</w:t>
      </w:r>
    </w:p>
    <w:p>
      <w:pPr>
        <w:keepNext w:val="0"/>
        <w:keepLines w:val="0"/>
        <w:widowControl/>
        <w:suppressLineNumbers w:val="0"/>
        <w:ind w:firstLine="480" w:firstLineChars="200"/>
        <w:jc w:val="left"/>
        <w:rPr>
          <w:rFonts w:hint="eastAsia"/>
          <w:color w:val="auto"/>
          <w:sz w:val="24"/>
          <w:szCs w:val="24"/>
        </w:rPr>
      </w:pPr>
      <w:r>
        <w:rPr>
          <w:rFonts w:hint="eastAsia"/>
          <w:color w:val="auto"/>
          <w:sz w:val="24"/>
          <w:szCs w:val="24"/>
          <w:lang w:val="en-US" w:eastAsia="zh-CN"/>
        </w:rPr>
        <w:t>2.3.2投标人应在投标截止时间前随时查看广东省招标投标监管网和汕尾市公共资源交易中心门户网站中有关本招标文件的答疑、补遗内容。否则，由此引起的投标损失自负。</w:t>
      </w:r>
    </w:p>
    <w:p>
      <w:pPr>
        <w:keepNext w:val="0"/>
        <w:keepLines w:val="0"/>
        <w:widowControl/>
        <w:suppressLineNumbers w:val="0"/>
        <w:ind w:firstLine="480" w:firstLineChars="200"/>
        <w:jc w:val="left"/>
        <w:rPr>
          <w:color w:val="auto"/>
        </w:rPr>
      </w:pPr>
      <w:r>
        <w:rPr>
          <w:rFonts w:hint="eastAsia"/>
          <w:color w:val="auto"/>
          <w:sz w:val="24"/>
          <w:szCs w:val="24"/>
          <w:lang w:val="en-US" w:eastAsia="zh-CN"/>
        </w:rPr>
        <w:t>2.3.3招标文件、招标文件的澄清(答疑)纪要、招标文件修改(补充)文件内容均以网上的为准。当招标文件、澄清(答疑)纪要、修改(补充)文件内容相互矛盾时，以最后发出的为准。</w:t>
      </w:r>
    </w:p>
    <w:p>
      <w:pPr>
        <w:spacing w:line="360" w:lineRule="auto"/>
        <w:rPr>
          <w:color w:val="auto"/>
        </w:rPr>
      </w:pPr>
      <w:r>
        <w:rPr>
          <w:rFonts w:hint="eastAsia"/>
          <w:b/>
          <w:bCs/>
          <w:color w:val="auto"/>
          <w:sz w:val="28"/>
          <w:szCs w:val="28"/>
        </w:rPr>
        <w:t>3.投标文件</w:t>
      </w:r>
    </w:p>
    <w:p>
      <w:pPr>
        <w:spacing w:line="360" w:lineRule="auto"/>
        <w:rPr>
          <w:b/>
          <w:bCs/>
          <w:color w:val="auto"/>
          <w:sz w:val="24"/>
          <w:szCs w:val="24"/>
        </w:rPr>
      </w:pPr>
      <w:r>
        <w:rPr>
          <w:rFonts w:hint="eastAsia"/>
          <w:b/>
          <w:bCs/>
          <w:color w:val="auto"/>
          <w:sz w:val="24"/>
          <w:szCs w:val="24"/>
        </w:rPr>
        <w:t>3.1投标文件的组成</w:t>
      </w:r>
    </w:p>
    <w:p>
      <w:pPr>
        <w:spacing w:line="360" w:lineRule="auto"/>
        <w:ind w:firstLine="480" w:firstLineChars="200"/>
        <w:rPr>
          <w:color w:val="auto"/>
          <w:sz w:val="24"/>
          <w:szCs w:val="24"/>
        </w:rPr>
      </w:pPr>
      <w:r>
        <w:rPr>
          <w:rFonts w:hint="eastAsia"/>
          <w:color w:val="auto"/>
          <w:sz w:val="24"/>
          <w:szCs w:val="24"/>
        </w:rPr>
        <w:t>根据投标人须知前附表规定的不同形式，投标文件的组成应满足相应条款要求。</w:t>
      </w:r>
    </w:p>
    <w:p>
      <w:pPr>
        <w:spacing w:line="360" w:lineRule="auto"/>
        <w:ind w:firstLine="480" w:firstLineChars="200"/>
        <w:rPr>
          <w:color w:val="auto"/>
          <w:sz w:val="24"/>
          <w:szCs w:val="24"/>
        </w:rPr>
      </w:pPr>
      <w:r>
        <w:rPr>
          <w:rFonts w:hint="eastAsia"/>
          <w:color w:val="auto"/>
          <w:sz w:val="24"/>
          <w:szCs w:val="24"/>
        </w:rPr>
        <w:t>3.1.1投标文件应包括下列内容：</w:t>
      </w:r>
    </w:p>
    <w:p>
      <w:pPr>
        <w:spacing w:line="360" w:lineRule="auto"/>
        <w:rPr>
          <w:color w:val="auto"/>
          <w:sz w:val="24"/>
          <w:szCs w:val="24"/>
        </w:rPr>
      </w:pPr>
      <w:r>
        <w:rPr>
          <w:rFonts w:hint="eastAsia"/>
          <w:color w:val="auto"/>
          <w:sz w:val="24"/>
          <w:szCs w:val="24"/>
        </w:rPr>
        <w:t>第一</w:t>
      </w:r>
      <w:r>
        <w:rPr>
          <w:rFonts w:hint="eastAsia" w:ascii="宋体" w:hAnsi="宋体" w:eastAsia="宋体" w:cs="宋体"/>
          <w:color w:val="auto"/>
          <w:sz w:val="24"/>
          <w:szCs w:val="24"/>
        </w:rPr>
        <w:t>个信封（商务及技术文件）：</w:t>
      </w:r>
    </w:p>
    <w:p>
      <w:pPr>
        <w:spacing w:line="360" w:lineRule="auto"/>
        <w:ind w:firstLine="480" w:firstLineChars="200"/>
        <w:rPr>
          <w:color w:val="auto"/>
          <w:sz w:val="24"/>
          <w:szCs w:val="24"/>
        </w:rPr>
      </w:pPr>
      <w:r>
        <w:rPr>
          <w:rFonts w:hint="eastAsia"/>
          <w:color w:val="auto"/>
          <w:sz w:val="24"/>
          <w:szCs w:val="24"/>
        </w:rPr>
        <w:t>（1）投标函及投标函附录；</w:t>
      </w:r>
    </w:p>
    <w:p>
      <w:pPr>
        <w:spacing w:line="360" w:lineRule="auto"/>
        <w:ind w:firstLine="480" w:firstLineChars="200"/>
        <w:rPr>
          <w:color w:val="auto"/>
          <w:sz w:val="24"/>
          <w:szCs w:val="24"/>
        </w:rPr>
      </w:pPr>
      <w:r>
        <w:rPr>
          <w:rFonts w:hint="eastAsia"/>
          <w:color w:val="auto"/>
          <w:sz w:val="24"/>
          <w:szCs w:val="24"/>
        </w:rPr>
        <w:t>（2）授权委托书或法定代表人身份证明；</w:t>
      </w:r>
    </w:p>
    <w:p>
      <w:pPr>
        <w:spacing w:line="360" w:lineRule="auto"/>
        <w:ind w:firstLine="480" w:firstLineChars="200"/>
        <w:rPr>
          <w:color w:val="auto"/>
          <w:sz w:val="24"/>
          <w:szCs w:val="24"/>
        </w:rPr>
      </w:pPr>
      <w:r>
        <w:rPr>
          <w:rFonts w:hint="eastAsia"/>
          <w:color w:val="auto"/>
          <w:sz w:val="24"/>
          <w:szCs w:val="24"/>
        </w:rPr>
        <w:t>（</w:t>
      </w:r>
      <w:r>
        <w:rPr>
          <w:rFonts w:hint="eastAsia"/>
          <w:color w:val="auto"/>
          <w:sz w:val="24"/>
          <w:szCs w:val="24"/>
          <w:lang w:val="en-US"/>
        </w:rPr>
        <w:t>3</w:t>
      </w:r>
      <w:r>
        <w:rPr>
          <w:rFonts w:hint="eastAsia"/>
          <w:color w:val="auto"/>
          <w:sz w:val="24"/>
          <w:szCs w:val="24"/>
        </w:rPr>
        <w:t>）投标保证金；</w:t>
      </w:r>
    </w:p>
    <w:p>
      <w:pPr>
        <w:spacing w:line="360" w:lineRule="auto"/>
        <w:ind w:firstLine="480" w:firstLineChars="200"/>
        <w:rPr>
          <w:color w:val="auto"/>
          <w:sz w:val="24"/>
          <w:szCs w:val="24"/>
        </w:rPr>
      </w:pPr>
      <w:r>
        <w:rPr>
          <w:rFonts w:hint="eastAsia"/>
          <w:color w:val="auto"/>
          <w:sz w:val="24"/>
          <w:szCs w:val="24"/>
        </w:rPr>
        <w:t>（</w:t>
      </w:r>
      <w:r>
        <w:rPr>
          <w:rFonts w:hint="eastAsia"/>
          <w:color w:val="auto"/>
          <w:sz w:val="24"/>
          <w:szCs w:val="24"/>
          <w:lang w:val="en-US"/>
        </w:rPr>
        <w:t>4</w:t>
      </w:r>
      <w:r>
        <w:rPr>
          <w:rFonts w:hint="eastAsia"/>
          <w:color w:val="auto"/>
          <w:sz w:val="24"/>
          <w:szCs w:val="24"/>
        </w:rPr>
        <w:t>）施工组织设计；</w:t>
      </w:r>
    </w:p>
    <w:p>
      <w:pPr>
        <w:spacing w:line="360" w:lineRule="auto"/>
        <w:ind w:firstLine="480" w:firstLineChars="200"/>
        <w:rPr>
          <w:color w:val="auto"/>
          <w:sz w:val="24"/>
          <w:szCs w:val="24"/>
        </w:rPr>
      </w:pPr>
      <w:r>
        <w:rPr>
          <w:rFonts w:hint="eastAsia"/>
          <w:color w:val="auto"/>
          <w:sz w:val="24"/>
          <w:szCs w:val="24"/>
        </w:rPr>
        <w:t>（</w:t>
      </w:r>
      <w:r>
        <w:rPr>
          <w:rFonts w:hint="eastAsia"/>
          <w:color w:val="auto"/>
          <w:sz w:val="24"/>
          <w:szCs w:val="24"/>
          <w:lang w:val="en-US"/>
        </w:rPr>
        <w:t>5</w:t>
      </w:r>
      <w:r>
        <w:rPr>
          <w:rFonts w:hint="eastAsia"/>
          <w:color w:val="auto"/>
          <w:sz w:val="24"/>
          <w:szCs w:val="24"/>
        </w:rPr>
        <w:t>）项目管理机构；</w:t>
      </w:r>
    </w:p>
    <w:p>
      <w:pPr>
        <w:spacing w:line="360" w:lineRule="auto"/>
        <w:ind w:firstLine="480" w:firstLineChars="200"/>
        <w:rPr>
          <w:color w:val="auto"/>
          <w:sz w:val="24"/>
          <w:szCs w:val="24"/>
        </w:rPr>
      </w:pPr>
      <w:r>
        <w:rPr>
          <w:rFonts w:hint="eastAsia"/>
          <w:color w:val="auto"/>
          <w:sz w:val="24"/>
          <w:szCs w:val="24"/>
        </w:rPr>
        <w:t>（</w:t>
      </w:r>
      <w:r>
        <w:rPr>
          <w:rFonts w:hint="eastAsia"/>
          <w:color w:val="auto"/>
          <w:sz w:val="24"/>
          <w:szCs w:val="24"/>
          <w:lang w:val="en-US"/>
        </w:rPr>
        <w:t>6</w:t>
      </w:r>
      <w:r>
        <w:rPr>
          <w:rFonts w:hint="eastAsia"/>
          <w:color w:val="auto"/>
          <w:sz w:val="24"/>
          <w:szCs w:val="24"/>
        </w:rPr>
        <w:t>）资格审查资料；</w:t>
      </w:r>
    </w:p>
    <w:p>
      <w:pPr>
        <w:spacing w:line="360" w:lineRule="auto"/>
        <w:ind w:firstLine="480" w:firstLineChars="200"/>
        <w:rPr>
          <w:color w:val="auto"/>
          <w:sz w:val="24"/>
          <w:szCs w:val="24"/>
        </w:rPr>
      </w:pPr>
      <w:r>
        <w:rPr>
          <w:rFonts w:hint="eastAsia"/>
          <w:color w:val="auto"/>
          <w:sz w:val="24"/>
          <w:szCs w:val="24"/>
        </w:rPr>
        <w:t>（</w:t>
      </w:r>
      <w:r>
        <w:rPr>
          <w:rFonts w:hint="eastAsia"/>
          <w:color w:val="auto"/>
          <w:sz w:val="24"/>
          <w:szCs w:val="24"/>
          <w:lang w:val="en-US"/>
        </w:rPr>
        <w:t>7</w:t>
      </w:r>
      <w:r>
        <w:rPr>
          <w:rFonts w:hint="eastAsia"/>
          <w:color w:val="auto"/>
          <w:sz w:val="24"/>
          <w:szCs w:val="24"/>
        </w:rPr>
        <w:t>）投标人须知前附表规定的其他资料。</w:t>
      </w:r>
    </w:p>
    <w:p>
      <w:pPr>
        <w:spacing w:line="360" w:lineRule="auto"/>
        <w:ind w:firstLine="480" w:firstLineChars="200"/>
        <w:rPr>
          <w:color w:val="auto"/>
          <w:sz w:val="24"/>
          <w:szCs w:val="24"/>
        </w:rPr>
      </w:pPr>
      <w:r>
        <w:rPr>
          <w:rFonts w:hint="eastAsia"/>
          <w:color w:val="auto"/>
          <w:sz w:val="24"/>
          <w:szCs w:val="24"/>
        </w:rPr>
        <w:t>第二个信封（报价文件）：</w:t>
      </w:r>
    </w:p>
    <w:p>
      <w:pPr>
        <w:numPr>
          <w:ilvl w:val="0"/>
          <w:numId w:val="0"/>
        </w:numPr>
        <w:spacing w:line="360" w:lineRule="auto"/>
        <w:ind w:leftChars="0" w:firstLine="480" w:firstLineChars="200"/>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rPr>
        <w:t>投标函；</w:t>
      </w:r>
    </w:p>
    <w:p>
      <w:pPr>
        <w:numPr>
          <w:ilvl w:val="0"/>
          <w:numId w:val="0"/>
        </w:numPr>
        <w:spacing w:line="360" w:lineRule="auto"/>
        <w:ind w:leftChars="0" w:firstLine="480" w:firstLineChars="200"/>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rFonts w:hint="eastAsia"/>
          <w:color w:val="auto"/>
          <w:sz w:val="24"/>
          <w:szCs w:val="24"/>
        </w:rPr>
        <w:t>已标价工程量清单；</w:t>
      </w:r>
    </w:p>
    <w:p>
      <w:pPr>
        <w:spacing w:line="360" w:lineRule="auto"/>
        <w:ind w:firstLine="480" w:firstLineChars="200"/>
        <w:rPr>
          <w:color w:val="auto"/>
          <w:sz w:val="24"/>
          <w:szCs w:val="24"/>
        </w:rPr>
      </w:pPr>
      <w:r>
        <w:rPr>
          <w:rFonts w:hint="eastAsia"/>
          <w:color w:val="auto"/>
          <w:sz w:val="24"/>
          <w:szCs w:val="24"/>
        </w:rPr>
        <w:t>投标人在评标过程中作出的符合法律法规和招标文件规定的澄清确认，构成投标文件的组成部分。</w:t>
      </w:r>
    </w:p>
    <w:p>
      <w:pPr>
        <w:spacing w:line="360" w:lineRule="auto"/>
        <w:rPr>
          <w:b/>
          <w:bCs/>
          <w:color w:val="auto"/>
          <w:sz w:val="24"/>
          <w:szCs w:val="24"/>
        </w:rPr>
      </w:pPr>
      <w:r>
        <w:rPr>
          <w:rFonts w:hint="eastAsia"/>
          <w:b/>
          <w:bCs/>
          <w:color w:val="auto"/>
          <w:sz w:val="24"/>
          <w:szCs w:val="24"/>
        </w:rPr>
        <w:t>3.2投标报价</w:t>
      </w:r>
    </w:p>
    <w:p>
      <w:pPr>
        <w:spacing w:line="360" w:lineRule="auto"/>
        <w:ind w:firstLine="480" w:firstLineChars="200"/>
        <w:rPr>
          <w:color w:val="auto"/>
          <w:sz w:val="24"/>
          <w:szCs w:val="24"/>
          <w:highlight w:val="none"/>
        </w:rPr>
      </w:pPr>
      <w:r>
        <w:rPr>
          <w:rFonts w:hint="eastAsia"/>
          <w:color w:val="auto"/>
          <w:sz w:val="24"/>
          <w:szCs w:val="24"/>
          <w:highlight w:val="none"/>
        </w:rPr>
        <w:t>3.2.1投标报价应包括国家规定的增值税税金，除投标人须知前附表另有规定外，增值税税金按一般计税方法计算。投标人应按第九章“投标文件格式”的要求在投标函中进行报价并填写工程量清单相应表格。</w:t>
      </w:r>
    </w:p>
    <w:p>
      <w:pPr>
        <w:spacing w:line="360" w:lineRule="auto"/>
        <w:ind w:firstLine="480" w:firstLineChars="200"/>
        <w:rPr>
          <w:rFonts w:hint="eastAsia"/>
          <w:color w:val="auto"/>
          <w:sz w:val="24"/>
          <w:szCs w:val="24"/>
          <w:highlight w:val="none"/>
          <w:lang w:val="en-US" w:eastAsia="zh-CN"/>
        </w:rPr>
      </w:pPr>
      <w:r>
        <w:rPr>
          <w:rFonts w:hint="eastAsia"/>
          <w:color w:val="auto"/>
          <w:sz w:val="24"/>
          <w:szCs w:val="24"/>
          <w:highlight w:val="none"/>
          <w:lang w:val="en-US" w:eastAsia="zh-CN"/>
        </w:rPr>
        <w:t>工程量清单的填写分下列两种方式。投标人应按投标人须知前附表规定的方式填写工程量清单。</w:t>
      </w:r>
    </w:p>
    <w:p>
      <w:pPr>
        <w:spacing w:line="360" w:lineRule="auto"/>
        <w:ind w:firstLine="480" w:firstLineChars="200"/>
        <w:rPr>
          <w:rFonts w:hint="eastAsia"/>
          <w:color w:val="auto"/>
          <w:sz w:val="24"/>
          <w:szCs w:val="24"/>
          <w:highlight w:val="none"/>
          <w:lang w:val="en-US" w:eastAsia="zh-CN"/>
        </w:rPr>
      </w:pPr>
      <w:r>
        <w:rPr>
          <w:rFonts w:hint="eastAsia"/>
          <w:color w:val="auto"/>
          <w:sz w:val="24"/>
          <w:szCs w:val="24"/>
          <w:highlight w:val="none"/>
          <w:lang w:val="en-US" w:eastAsia="zh-CN"/>
        </w:rPr>
        <w:t>（1）本项目招标采用工程量固化清单，招标人在发布招标文件的同时将工程量固化清单电子文件按投标人须知前附表载明的形式公布给投标人。投标人填写工程量清单中各子目的单价及总额价，即可完成投标工程量清单的编制，确定投标报价，并打印出投标工程量清单，编入投标文件。投标人未在工程量清单中填入单价或总额价的工程子目，将被认为其已包含在工程量清单其他子目的单价和总额价中，招标人将不予支付。</w:t>
      </w:r>
    </w:p>
    <w:p>
      <w:pPr>
        <w:spacing w:line="360" w:lineRule="auto"/>
        <w:ind w:firstLine="480" w:firstLineChars="200"/>
        <w:rPr>
          <w:rFonts w:hint="eastAsia"/>
          <w:color w:val="auto"/>
          <w:sz w:val="24"/>
          <w:szCs w:val="24"/>
          <w:highlight w:val="none"/>
          <w:lang w:val="en-US" w:eastAsia="zh-CN"/>
        </w:rPr>
      </w:pPr>
      <w:r>
        <w:rPr>
          <w:rFonts w:hint="eastAsia"/>
          <w:color w:val="auto"/>
          <w:sz w:val="24"/>
          <w:szCs w:val="24"/>
          <w:highlight w:val="none"/>
          <w:lang w:val="en-US" w:eastAsia="zh-CN"/>
        </w:rPr>
        <w:t>投标人必须严格遵循工程量固化清单电子文件中的数据、格式及运算定义，并将已填写完毕的投标工程量清单电子文件单独拷入投标人自备的U盘中密封在投标文件第二个信封（报价文件）内一并交回。严禁投标人修改工程量固化清单电子文件中的数据、格式及运算定义。</w:t>
      </w:r>
    </w:p>
    <w:p>
      <w:pPr>
        <w:spacing w:line="360" w:lineRule="auto"/>
        <w:ind w:firstLine="480" w:firstLineChars="200"/>
        <w:rPr>
          <w:rFonts w:hint="eastAsia"/>
          <w:color w:val="auto"/>
          <w:sz w:val="24"/>
          <w:szCs w:val="24"/>
          <w:highlight w:val="none"/>
          <w:lang w:val="en-US" w:eastAsia="zh-CN"/>
        </w:rPr>
      </w:pPr>
      <w:r>
        <w:rPr>
          <w:rFonts w:hint="eastAsia"/>
          <w:color w:val="auto"/>
          <w:sz w:val="24"/>
          <w:szCs w:val="24"/>
          <w:highlight w:val="none"/>
          <w:lang w:val="en-US" w:eastAsia="zh-CN"/>
        </w:rPr>
        <w:t>（2）投标人根据招标人提供的工程量固化清单电子文件填报完成并打印的投标工程量清单中的投标报价和投标函大写金额报价应一致，如果报价金额出现差异时，其投标将被否决。</w:t>
      </w:r>
    </w:p>
    <w:p>
      <w:pPr>
        <w:spacing w:line="360" w:lineRule="auto"/>
        <w:ind w:firstLine="480" w:firstLineChars="200"/>
        <w:rPr>
          <w:rFonts w:hint="eastAsia"/>
          <w:color w:val="auto"/>
          <w:sz w:val="24"/>
          <w:szCs w:val="24"/>
          <w:highlight w:val="none"/>
          <w:lang w:val="en-US" w:eastAsia="zh-CN"/>
        </w:rPr>
      </w:pPr>
      <w:r>
        <w:rPr>
          <w:rFonts w:hint="eastAsia"/>
          <w:color w:val="auto"/>
          <w:sz w:val="24"/>
          <w:szCs w:val="24"/>
          <w:highlight w:val="none"/>
          <w:lang w:val="en-US" w:eastAsia="zh-CN"/>
        </w:rPr>
        <w:t>增加以下内容：</w:t>
      </w:r>
    </w:p>
    <w:p>
      <w:pPr>
        <w:spacing w:line="360" w:lineRule="auto"/>
        <w:ind w:firstLine="480" w:firstLineChars="200"/>
        <w:rPr>
          <w:color w:val="auto"/>
          <w:sz w:val="24"/>
          <w:szCs w:val="24"/>
          <w:highlight w:val="none"/>
        </w:rPr>
      </w:pPr>
      <w:r>
        <w:rPr>
          <w:rFonts w:hint="eastAsia"/>
          <w:color w:val="auto"/>
          <w:sz w:val="24"/>
          <w:szCs w:val="24"/>
          <w:highlight w:val="none"/>
          <w:lang w:val="en-US" w:eastAsia="zh-CN"/>
        </w:rPr>
        <w:t>(3)投标报价的所有单价取小数点后两位，所有合价和总价应四舍五入取整数。工程量清单不需要附单价分析表、项目清单、分项清单，但投标人中标后，发包人可要求中标人提交项目清单、分项清单及单价分析表，中标人不得拒绝。</w:t>
      </w:r>
    </w:p>
    <w:p>
      <w:pPr>
        <w:spacing w:line="360" w:lineRule="auto"/>
        <w:ind w:firstLine="480" w:firstLineChars="200"/>
        <w:rPr>
          <w:color w:val="auto"/>
          <w:sz w:val="24"/>
          <w:szCs w:val="24"/>
        </w:rPr>
      </w:pPr>
      <w:r>
        <w:rPr>
          <w:rFonts w:hint="eastAsia"/>
          <w:color w:val="auto"/>
          <w:sz w:val="24"/>
          <w:szCs w:val="24"/>
        </w:rPr>
        <w:t>3.2.2投标人应充分了解本项目的总体情况以及影响投标报价的其他要素。</w:t>
      </w:r>
    </w:p>
    <w:p>
      <w:pPr>
        <w:spacing w:line="360" w:lineRule="auto"/>
        <w:ind w:firstLine="480" w:firstLineChars="200"/>
        <w:rPr>
          <w:color w:val="auto"/>
          <w:sz w:val="24"/>
          <w:szCs w:val="24"/>
        </w:rPr>
      </w:pPr>
      <w:r>
        <w:rPr>
          <w:rFonts w:hint="eastAsia"/>
          <w:color w:val="auto"/>
          <w:sz w:val="24"/>
          <w:szCs w:val="24"/>
        </w:rPr>
        <w:t>3.2.3本项目的报价方式见投标人须知前附表。投标人在投标截止时间前修改投标函中的投标总报价，应同时修改投标文件“已标价工程量清单”中的相应报价。此修改须符合本章第4.3款的有关要求。</w:t>
      </w:r>
    </w:p>
    <w:p>
      <w:pPr>
        <w:spacing w:line="360" w:lineRule="auto"/>
        <w:ind w:firstLine="480" w:firstLineChars="200"/>
        <w:rPr>
          <w:color w:val="auto"/>
          <w:sz w:val="24"/>
          <w:szCs w:val="24"/>
        </w:rPr>
      </w:pPr>
      <w:r>
        <w:rPr>
          <w:rFonts w:hint="eastAsia"/>
          <w:color w:val="auto"/>
          <w:sz w:val="24"/>
          <w:szCs w:val="24"/>
        </w:rPr>
        <w:t>3.2.4投标人如果发现工程量清单中的数量与图纸中数量不一致时，应立即通知招标人核查，除非招标人以书面方式予以更正，否则，应以工程量清单中列出的数量为准。</w:t>
      </w:r>
    </w:p>
    <w:p>
      <w:pPr>
        <w:spacing w:line="360" w:lineRule="auto"/>
        <w:ind w:firstLine="480" w:firstLineChars="200"/>
        <w:rPr>
          <w:color w:val="auto"/>
          <w:sz w:val="24"/>
          <w:szCs w:val="24"/>
        </w:rPr>
      </w:pPr>
      <w:r>
        <w:rPr>
          <w:rFonts w:hint="eastAsia"/>
          <w:color w:val="auto"/>
          <w:sz w:val="24"/>
          <w:szCs w:val="24"/>
        </w:rPr>
        <w:t>3.2.5投标人应根据《公路水运工程安全生产监督管理办法》，在投标总价中计入安全生产费用，安全生产费用应符合合同条款第9.2.5项的规定。工程量清单第100章内列有上述安全生产费的支付子目，由投标人按招标文件的规定填写总额价。</w:t>
      </w:r>
    </w:p>
    <w:p>
      <w:pPr>
        <w:spacing w:line="360" w:lineRule="auto"/>
        <w:ind w:firstLine="480" w:firstLineChars="200"/>
        <w:rPr>
          <w:rFonts w:hint="eastAsia" w:eastAsia="宋体"/>
          <w:color w:val="auto"/>
          <w:sz w:val="24"/>
          <w:szCs w:val="24"/>
          <w:lang w:eastAsia="zh-CN"/>
        </w:rPr>
      </w:pPr>
      <w:r>
        <w:rPr>
          <w:rFonts w:hint="eastAsia"/>
          <w:color w:val="auto"/>
          <w:sz w:val="24"/>
          <w:szCs w:val="24"/>
        </w:rPr>
        <w:t>3.2.6除投标人须知前附表另有规定外，招标人不接受调价函。</w:t>
      </w:r>
    </w:p>
    <w:p>
      <w:pPr>
        <w:spacing w:line="360" w:lineRule="auto"/>
        <w:ind w:firstLine="480" w:firstLineChars="200"/>
        <w:rPr>
          <w:color w:val="auto"/>
          <w:sz w:val="24"/>
          <w:szCs w:val="24"/>
        </w:rPr>
      </w:pPr>
      <w:r>
        <w:rPr>
          <w:rFonts w:hint="eastAsia"/>
          <w:color w:val="auto"/>
          <w:sz w:val="24"/>
          <w:szCs w:val="24"/>
        </w:rPr>
        <w:t>3.2.7在合同实施期间，投标人填写的单价、合价和总额价是否由于物价波动进行价格调整按照合同条款第16.1款的规定处理。如果按照合同条款第16.1.1项的规定采用价格调整公式进行价格调整，由招标人根据项目实际情况测算确定价格调整公式中的变值权重范围，并在投标函附录价格指数和权重表中约定范围；投标人在此范围内填写各可调因子的权重，合同实施期间将按此权重进行调价。</w:t>
      </w:r>
    </w:p>
    <w:p>
      <w:pPr>
        <w:spacing w:line="360" w:lineRule="auto"/>
        <w:ind w:firstLine="480" w:firstLineChars="200"/>
        <w:rPr>
          <w:color w:val="auto"/>
          <w:sz w:val="24"/>
          <w:szCs w:val="24"/>
        </w:rPr>
      </w:pPr>
      <w:r>
        <w:rPr>
          <w:rFonts w:hint="eastAsia"/>
          <w:color w:val="auto"/>
          <w:sz w:val="24"/>
          <w:szCs w:val="24"/>
        </w:rPr>
        <w:t>3.2.8招标人设有最高投标限价的，投标人的投标报价不得超过最高投标限价，最高投标限价在投标人须知前附表中载明。</w:t>
      </w:r>
    </w:p>
    <w:p>
      <w:pPr>
        <w:spacing w:line="360" w:lineRule="auto"/>
        <w:ind w:firstLine="480" w:firstLineChars="200"/>
        <w:rPr>
          <w:color w:val="auto"/>
          <w:sz w:val="24"/>
          <w:szCs w:val="24"/>
        </w:rPr>
      </w:pPr>
      <w:r>
        <w:rPr>
          <w:rFonts w:hint="eastAsia"/>
          <w:color w:val="auto"/>
          <w:sz w:val="24"/>
          <w:szCs w:val="24"/>
        </w:rPr>
        <w:t>3.2.9投标报价的其他要求见投标人须知前附表。</w:t>
      </w:r>
    </w:p>
    <w:p>
      <w:pPr>
        <w:spacing w:line="360" w:lineRule="auto"/>
        <w:rPr>
          <w:b/>
          <w:bCs/>
          <w:color w:val="auto"/>
          <w:sz w:val="24"/>
          <w:szCs w:val="24"/>
        </w:rPr>
      </w:pPr>
      <w:r>
        <w:rPr>
          <w:rFonts w:hint="eastAsia"/>
          <w:b/>
          <w:bCs/>
          <w:color w:val="auto"/>
          <w:sz w:val="24"/>
          <w:szCs w:val="24"/>
        </w:rPr>
        <w:t>3.3投标有效期</w:t>
      </w:r>
    </w:p>
    <w:p>
      <w:pPr>
        <w:spacing w:line="360" w:lineRule="auto"/>
        <w:ind w:firstLine="480" w:firstLineChars="200"/>
        <w:rPr>
          <w:color w:val="auto"/>
          <w:sz w:val="24"/>
          <w:szCs w:val="24"/>
        </w:rPr>
      </w:pPr>
      <w:r>
        <w:rPr>
          <w:rFonts w:hint="eastAsia"/>
          <w:color w:val="auto"/>
          <w:sz w:val="24"/>
          <w:szCs w:val="24"/>
        </w:rPr>
        <w:t>3.3.1除投标人须知前附表另有规定外，投标有效期为90日。</w:t>
      </w:r>
    </w:p>
    <w:p>
      <w:pPr>
        <w:spacing w:line="360" w:lineRule="auto"/>
        <w:ind w:firstLine="480" w:firstLineChars="200"/>
        <w:rPr>
          <w:color w:val="auto"/>
          <w:sz w:val="24"/>
          <w:szCs w:val="24"/>
        </w:rPr>
      </w:pPr>
      <w:r>
        <w:rPr>
          <w:rFonts w:hint="eastAsia"/>
          <w:color w:val="auto"/>
          <w:sz w:val="24"/>
          <w:szCs w:val="24"/>
        </w:rPr>
        <w:t>3.3.2在投标有效期内，投标人撤销投标文件的，应承担招标文件和法律规定的责任。</w:t>
      </w:r>
    </w:p>
    <w:p>
      <w:pPr>
        <w:spacing w:line="360" w:lineRule="auto"/>
        <w:ind w:firstLine="480" w:firstLineChars="200"/>
        <w:rPr>
          <w:color w:val="auto"/>
          <w:sz w:val="24"/>
          <w:szCs w:val="24"/>
        </w:rPr>
      </w:pPr>
      <w:r>
        <w:rPr>
          <w:rFonts w:hint="eastAsia"/>
          <w:color w:val="auto"/>
          <w:sz w:val="24"/>
          <w:szCs w:val="24"/>
        </w:rPr>
        <w:t>3.3.3出现特殊情况需要延长投标有效期的，招标人以书面形式通知所有投标人延长投标有效期。投标人应予以书面答复，同意延长的，应相应延长其投标保证金的有效期，但不得要求或被允许修改其投标文件；投标人拒绝延长的，其投标失效，但投标人有权收回其投标保证金及以现金或支票形式递交的投标保证金的银行同期活期存款利息。</w:t>
      </w:r>
    </w:p>
    <w:p>
      <w:pPr>
        <w:spacing w:line="360" w:lineRule="auto"/>
        <w:rPr>
          <w:b/>
          <w:bCs/>
          <w:color w:val="auto"/>
          <w:sz w:val="24"/>
          <w:szCs w:val="24"/>
        </w:rPr>
      </w:pPr>
      <w:r>
        <w:rPr>
          <w:rFonts w:hint="eastAsia"/>
          <w:b/>
          <w:bCs/>
          <w:color w:val="auto"/>
          <w:sz w:val="24"/>
          <w:szCs w:val="24"/>
        </w:rPr>
        <w:t>3.4投标保证金</w:t>
      </w:r>
    </w:p>
    <w:p>
      <w:pPr>
        <w:spacing w:line="360" w:lineRule="auto"/>
        <w:ind w:firstLine="480" w:firstLineChars="200"/>
        <w:rPr>
          <w:color w:val="auto"/>
          <w:sz w:val="24"/>
          <w:szCs w:val="24"/>
        </w:rPr>
      </w:pPr>
      <w:r>
        <w:rPr>
          <w:rFonts w:hint="eastAsia"/>
          <w:color w:val="auto"/>
          <w:sz w:val="24"/>
          <w:szCs w:val="24"/>
        </w:rPr>
        <w:t>3.4.1投标人在递交投标文件的同时，应按投标人须知前附表规定的金额递交投标保证金，并作为其投标文件的组成部分。投标保证金应采用现金</w:t>
      </w:r>
      <w:r>
        <w:rPr>
          <w:rFonts w:hint="eastAsia"/>
          <w:color w:val="auto"/>
          <w:sz w:val="24"/>
          <w:szCs w:val="24"/>
          <w:lang w:val="en-US" w:eastAsia="zh-CN"/>
        </w:rPr>
        <w:t>或</w:t>
      </w:r>
      <w:r>
        <w:rPr>
          <w:rFonts w:hint="eastAsia"/>
          <w:color w:val="auto"/>
          <w:sz w:val="24"/>
          <w:szCs w:val="24"/>
        </w:rPr>
        <w:t>银行保函或招标人在投标人须知前附表规定的其他形式。</w:t>
      </w:r>
    </w:p>
    <w:p>
      <w:pPr>
        <w:spacing w:line="360" w:lineRule="auto"/>
        <w:ind w:firstLine="480" w:firstLineChars="200"/>
        <w:rPr>
          <w:rFonts w:hint="eastAsia"/>
          <w:color w:val="auto"/>
          <w:sz w:val="24"/>
          <w:szCs w:val="24"/>
        </w:rPr>
      </w:pPr>
      <w:r>
        <w:rPr>
          <w:rFonts w:hint="eastAsia"/>
          <w:color w:val="auto"/>
          <w:sz w:val="24"/>
          <w:szCs w:val="24"/>
        </w:rPr>
        <w:t>（1）若采用现金，投标人应在递交投标文件截止时间之前，将投标保证金由投标人的基本账户转入招标人指定账户，否则视为投标保证金无效。招标人指定的开户银行及账号见投标人须知前附表。</w:t>
      </w:r>
    </w:p>
    <w:p>
      <w:pPr>
        <w:spacing w:line="360" w:lineRule="auto"/>
        <w:rPr>
          <w:color w:val="auto"/>
          <w:sz w:val="24"/>
          <w:szCs w:val="24"/>
        </w:rPr>
      </w:pPr>
      <w:r>
        <w:rPr>
          <w:rFonts w:hint="eastAsia"/>
          <w:color w:val="auto"/>
          <w:sz w:val="24"/>
          <w:szCs w:val="24"/>
        </w:rPr>
        <w:tab/>
      </w:r>
      <w:r>
        <w:rPr>
          <w:rFonts w:hint="eastAsia"/>
          <w:color w:val="auto"/>
          <w:sz w:val="24"/>
          <w:szCs w:val="24"/>
        </w:rPr>
        <w:t>(2)若采用银行保函</w:t>
      </w:r>
      <w:r>
        <w:rPr>
          <w:rFonts w:hint="eastAsia"/>
          <w:color w:val="auto"/>
          <w:sz w:val="24"/>
          <w:szCs w:val="24"/>
          <w:lang w:eastAsia="zh-CN"/>
        </w:rPr>
        <w:t>或公司保函</w:t>
      </w:r>
      <w:r>
        <w:rPr>
          <w:rFonts w:hint="eastAsia"/>
          <w:color w:val="auto"/>
          <w:sz w:val="24"/>
          <w:szCs w:val="24"/>
        </w:rPr>
        <w:t>，则应由符合投标人须知前附表规定开具，并采用招标文件提供的格式</w:t>
      </w:r>
      <w:r>
        <w:rPr>
          <w:rFonts w:hint="eastAsia"/>
          <w:color w:val="auto"/>
          <w:sz w:val="24"/>
          <w:szCs w:val="24"/>
          <w:lang w:eastAsia="zh-CN"/>
        </w:rPr>
        <w:t>（如招标文件没有规定，可自行拟定格式）</w:t>
      </w:r>
      <w:r>
        <w:rPr>
          <w:rFonts w:hint="eastAsia"/>
          <w:color w:val="auto"/>
          <w:sz w:val="24"/>
          <w:szCs w:val="24"/>
        </w:rPr>
        <w:t>。保函复印件装订在投标文件内，原件应在递交投标文件截止时间之前递交给招标人。</w:t>
      </w:r>
    </w:p>
    <w:p>
      <w:pPr>
        <w:spacing w:line="360" w:lineRule="auto"/>
        <w:ind w:firstLine="480" w:firstLineChars="200"/>
        <w:rPr>
          <w:color w:val="auto"/>
          <w:sz w:val="24"/>
          <w:szCs w:val="24"/>
        </w:rPr>
      </w:pPr>
      <w:r>
        <w:rPr>
          <w:rFonts w:hint="eastAsia"/>
          <w:color w:val="auto"/>
          <w:sz w:val="24"/>
          <w:szCs w:val="24"/>
        </w:rPr>
        <w:t>无论采取何种形式的投标保证金，投标保证金有效期均应与投标有效期一致。招标人如果按本章第3.3.3项的规定延长了投标有效期，则投标保证金的有效期也相应延长。</w:t>
      </w:r>
    </w:p>
    <w:p>
      <w:pPr>
        <w:spacing w:line="360" w:lineRule="auto"/>
        <w:ind w:firstLine="480" w:firstLineChars="200"/>
        <w:rPr>
          <w:color w:val="auto"/>
          <w:sz w:val="24"/>
          <w:szCs w:val="24"/>
        </w:rPr>
      </w:pPr>
      <w:r>
        <w:rPr>
          <w:rFonts w:hint="eastAsia"/>
          <w:color w:val="auto"/>
          <w:sz w:val="24"/>
          <w:szCs w:val="24"/>
        </w:rPr>
        <w:t>3.4.2投标人不按本章第3.4.1项要求提交投标保证金的，评标委员会将否决其投标。</w:t>
      </w:r>
    </w:p>
    <w:p>
      <w:pPr>
        <w:spacing w:line="360" w:lineRule="auto"/>
        <w:ind w:firstLine="480" w:firstLineChars="200"/>
        <w:rPr>
          <w:color w:val="auto"/>
          <w:sz w:val="24"/>
          <w:szCs w:val="24"/>
        </w:rPr>
      </w:pPr>
      <w:r>
        <w:rPr>
          <w:rFonts w:hint="eastAsia"/>
          <w:color w:val="auto"/>
          <w:sz w:val="24"/>
          <w:szCs w:val="24"/>
        </w:rPr>
        <w:t>3.4.3招标人最迟将在中标通知书发出后5日内向中标候选人以外的其他投标人退还投标保证金，与中标人签订合同后5日内向中标人和其他中标候选人退还投标保证金。投标保证金以现金或支票形式递交的，招标人应同时退还投标保证金的银行同期活期存款利息，且退还至投标人的基本账户。</w:t>
      </w:r>
    </w:p>
    <w:p>
      <w:pPr>
        <w:spacing w:line="360" w:lineRule="auto"/>
        <w:ind w:firstLine="480" w:firstLineChars="200"/>
        <w:rPr>
          <w:color w:val="auto"/>
          <w:sz w:val="24"/>
          <w:szCs w:val="24"/>
        </w:rPr>
      </w:pPr>
      <w:r>
        <w:rPr>
          <w:rFonts w:hint="eastAsia"/>
          <w:color w:val="auto"/>
          <w:sz w:val="24"/>
          <w:szCs w:val="24"/>
        </w:rPr>
        <w:t>利息计算原则见投标人须知前附表。</w:t>
      </w:r>
    </w:p>
    <w:p>
      <w:pPr>
        <w:spacing w:line="360" w:lineRule="auto"/>
        <w:ind w:firstLine="480" w:firstLineChars="200"/>
        <w:rPr>
          <w:color w:val="auto"/>
          <w:sz w:val="24"/>
          <w:szCs w:val="24"/>
        </w:rPr>
      </w:pPr>
      <w:r>
        <w:rPr>
          <w:rFonts w:hint="eastAsia"/>
          <w:color w:val="auto"/>
          <w:sz w:val="24"/>
          <w:szCs w:val="24"/>
        </w:rPr>
        <w:t>3.4.4有下列情形之一的，投标保证金将不予退还：</w:t>
      </w:r>
    </w:p>
    <w:p>
      <w:pPr>
        <w:spacing w:line="360" w:lineRule="auto"/>
        <w:ind w:firstLine="480" w:firstLineChars="200"/>
        <w:rPr>
          <w:color w:val="auto"/>
          <w:sz w:val="24"/>
          <w:szCs w:val="24"/>
        </w:rPr>
      </w:pPr>
      <w:r>
        <w:rPr>
          <w:rFonts w:hint="eastAsia"/>
          <w:color w:val="auto"/>
          <w:sz w:val="24"/>
          <w:szCs w:val="24"/>
        </w:rPr>
        <w:t>（1）投标人在投标有效期内撤销投标文件；</w:t>
      </w:r>
    </w:p>
    <w:p>
      <w:pPr>
        <w:spacing w:line="360" w:lineRule="auto"/>
        <w:ind w:firstLine="480" w:firstLineChars="200"/>
        <w:rPr>
          <w:color w:val="auto"/>
          <w:sz w:val="24"/>
          <w:szCs w:val="24"/>
        </w:rPr>
      </w:pPr>
      <w:r>
        <w:rPr>
          <w:rFonts w:hint="eastAsia"/>
          <w:color w:val="auto"/>
          <w:sz w:val="24"/>
          <w:szCs w:val="24"/>
        </w:rPr>
        <w:t>（2）中标人在收到中标通知书后，无正当理由不与招标人订立合同，在签订合同时向招标人提出附加条件，或不按照招标文件要求提交履约保证金；</w:t>
      </w:r>
    </w:p>
    <w:p>
      <w:pPr>
        <w:spacing w:line="360" w:lineRule="auto"/>
        <w:ind w:firstLine="480" w:firstLineChars="200"/>
        <w:rPr>
          <w:color w:val="auto"/>
          <w:sz w:val="24"/>
          <w:szCs w:val="24"/>
        </w:rPr>
      </w:pPr>
      <w:r>
        <w:rPr>
          <w:rFonts w:hint="eastAsia"/>
          <w:color w:val="auto"/>
          <w:sz w:val="24"/>
          <w:szCs w:val="24"/>
        </w:rPr>
        <w:t>（3）发生投标人须知前附表规定的其他可以不予退还投标保证金的情形。</w:t>
      </w:r>
    </w:p>
    <w:p>
      <w:pPr>
        <w:spacing w:line="360" w:lineRule="auto"/>
        <w:rPr>
          <w:b/>
          <w:bCs/>
          <w:color w:val="auto"/>
          <w:sz w:val="24"/>
          <w:szCs w:val="24"/>
        </w:rPr>
      </w:pPr>
      <w:r>
        <w:rPr>
          <w:rFonts w:hint="eastAsia"/>
          <w:b/>
          <w:bCs/>
          <w:color w:val="auto"/>
          <w:sz w:val="24"/>
          <w:szCs w:val="24"/>
        </w:rPr>
        <w:t>3.5资格审查资料</w:t>
      </w:r>
    </w:p>
    <w:p>
      <w:pPr>
        <w:spacing w:line="360" w:lineRule="auto"/>
        <w:ind w:firstLine="480" w:firstLineChars="200"/>
        <w:rPr>
          <w:color w:val="auto"/>
          <w:sz w:val="24"/>
          <w:szCs w:val="24"/>
        </w:rPr>
      </w:pPr>
      <w:r>
        <w:rPr>
          <w:rFonts w:hint="eastAsia"/>
          <w:color w:val="auto"/>
          <w:sz w:val="24"/>
          <w:szCs w:val="24"/>
        </w:rPr>
        <w:t>除投标人须知前附表另有规定外，投标人应按下列规定提供资格审查资料，以证明其满足本章第1.4款规定的资质、财务、业绩、信誉等要求。</w:t>
      </w:r>
    </w:p>
    <w:p>
      <w:pPr>
        <w:spacing w:line="360" w:lineRule="auto"/>
        <w:ind w:firstLine="480" w:firstLineChars="200"/>
        <w:rPr>
          <w:color w:val="auto"/>
          <w:sz w:val="24"/>
          <w:szCs w:val="24"/>
        </w:rPr>
      </w:pPr>
      <w:r>
        <w:rPr>
          <w:rFonts w:hint="eastAsia"/>
          <w:color w:val="auto"/>
          <w:sz w:val="24"/>
          <w:szCs w:val="24"/>
        </w:rPr>
        <w:t>3.5.1“投标人基本情况表”应附企业法人营业执照和组织机构代码证（按照“三证合一”或“五证合一”登记制度进行登记的，可仅提供营业执照，下同）、施工资质证书、安全生产许可证、基本账户开户许可证</w:t>
      </w:r>
      <w:r>
        <w:rPr>
          <w:rFonts w:hint="eastAsia"/>
          <w:color w:val="auto"/>
          <w:sz w:val="24"/>
          <w:szCs w:val="24"/>
          <w:lang w:eastAsia="zh-CN"/>
        </w:rPr>
        <w:t>（</w:t>
      </w:r>
      <w:r>
        <w:rPr>
          <w:rFonts w:hint="eastAsia"/>
          <w:color w:val="auto"/>
          <w:sz w:val="24"/>
          <w:szCs w:val="24"/>
        </w:rPr>
        <w:t>基本账户</w:t>
      </w:r>
      <w:r>
        <w:rPr>
          <w:rFonts w:hint="eastAsia"/>
          <w:color w:val="auto"/>
          <w:sz w:val="24"/>
          <w:szCs w:val="24"/>
          <w:lang w:eastAsia="zh-CN"/>
        </w:rPr>
        <w:t>开户信息）</w:t>
      </w:r>
      <w:r>
        <w:rPr>
          <w:rFonts w:hint="eastAsia"/>
          <w:color w:val="auto"/>
          <w:sz w:val="24"/>
          <w:szCs w:val="24"/>
        </w:rPr>
        <w:t>，投标人在交通运输部“全国公路建设市场信用信息管理系统”公路工程施工资质企业名录中的网页截图复印件。</w:t>
      </w:r>
    </w:p>
    <w:p>
      <w:pPr>
        <w:spacing w:line="360" w:lineRule="auto"/>
        <w:ind w:firstLine="480" w:firstLineChars="200"/>
        <w:rPr>
          <w:color w:val="auto"/>
          <w:sz w:val="24"/>
          <w:szCs w:val="24"/>
        </w:rPr>
      </w:pPr>
      <w:r>
        <w:rPr>
          <w:rFonts w:hint="eastAsia"/>
          <w:color w:val="auto"/>
          <w:sz w:val="24"/>
          <w:szCs w:val="24"/>
        </w:rPr>
        <w:t>企业法人营业执照、施工资质证书、安全生产许可证、基本账户开户许可证</w:t>
      </w:r>
      <w:r>
        <w:rPr>
          <w:rFonts w:hint="eastAsia"/>
          <w:color w:val="auto"/>
          <w:sz w:val="24"/>
          <w:szCs w:val="24"/>
          <w:lang w:eastAsia="zh-CN"/>
        </w:rPr>
        <w:t>（</w:t>
      </w:r>
      <w:r>
        <w:rPr>
          <w:rFonts w:hint="eastAsia"/>
          <w:color w:val="auto"/>
          <w:sz w:val="24"/>
          <w:szCs w:val="24"/>
        </w:rPr>
        <w:t>基本账户</w:t>
      </w:r>
      <w:r>
        <w:rPr>
          <w:rFonts w:hint="eastAsia"/>
          <w:color w:val="auto"/>
          <w:sz w:val="24"/>
          <w:szCs w:val="24"/>
          <w:lang w:eastAsia="zh-CN"/>
        </w:rPr>
        <w:t>开户信息）</w:t>
      </w:r>
      <w:r>
        <w:rPr>
          <w:rFonts w:hint="eastAsia"/>
          <w:color w:val="auto"/>
          <w:sz w:val="24"/>
          <w:szCs w:val="24"/>
        </w:rPr>
        <w:t>，应包括投标人名称、投标人其他相关信息、颁发机构名称、投标人信息变更情况等关键页在内，并</w:t>
      </w:r>
      <w:r>
        <w:rPr>
          <w:rFonts w:hint="eastAsia"/>
          <w:color w:val="auto"/>
          <w:sz w:val="24"/>
          <w:szCs w:val="24"/>
          <w:lang w:eastAsia="zh-CN"/>
        </w:rPr>
        <w:t>复印</w:t>
      </w:r>
      <w:r>
        <w:rPr>
          <w:rFonts w:hint="eastAsia"/>
          <w:color w:val="auto"/>
          <w:sz w:val="24"/>
          <w:szCs w:val="24"/>
        </w:rPr>
        <w:t>加盖投标人单位</w:t>
      </w:r>
      <w:r>
        <w:rPr>
          <w:rFonts w:hint="eastAsia"/>
          <w:color w:val="auto"/>
          <w:sz w:val="24"/>
          <w:szCs w:val="24"/>
          <w:lang w:eastAsia="zh-CN"/>
        </w:rPr>
        <w:t>公</w:t>
      </w:r>
      <w:r>
        <w:rPr>
          <w:rFonts w:hint="eastAsia"/>
          <w:color w:val="auto"/>
          <w:sz w:val="24"/>
          <w:szCs w:val="24"/>
        </w:rPr>
        <w:t>章。</w:t>
      </w:r>
    </w:p>
    <w:p>
      <w:pPr>
        <w:spacing w:line="360" w:lineRule="auto"/>
        <w:ind w:firstLine="480" w:firstLineChars="200"/>
        <w:rPr>
          <w:color w:val="auto"/>
          <w:sz w:val="24"/>
          <w:szCs w:val="24"/>
        </w:rPr>
      </w:pPr>
      <w:r>
        <w:rPr>
          <w:rFonts w:hint="eastAsia"/>
          <w:color w:val="auto"/>
          <w:sz w:val="24"/>
          <w:szCs w:val="24"/>
        </w:rPr>
        <w:t>3.5.2“财务状况表”近年财务信息以投标人提供的“全国公路建设市场信用信息管理系统”企业所填的信息截图或经会计师事务所或审计机构审计的</w:t>
      </w:r>
      <w:r>
        <w:rPr>
          <w:rFonts w:hint="eastAsia"/>
          <w:color w:val="auto"/>
          <w:sz w:val="24"/>
          <w:szCs w:val="24"/>
          <w:lang w:eastAsia="zh-CN"/>
        </w:rPr>
        <w:t>审核报告</w:t>
      </w:r>
      <w:r>
        <w:rPr>
          <w:rFonts w:hint="eastAsia"/>
          <w:color w:val="auto"/>
          <w:sz w:val="24"/>
          <w:szCs w:val="24"/>
        </w:rPr>
        <w:t>复印件，包括资产负债表、现金流量表、利润表的复印件，具体年份要求见投标人须知前附表。投标人的成立时间少于投标人须知前附表规定年份的，应提供成立以来的财务状况表。</w:t>
      </w:r>
    </w:p>
    <w:p>
      <w:pPr>
        <w:spacing w:line="360" w:lineRule="auto"/>
        <w:ind w:firstLine="480" w:firstLineChars="200"/>
        <w:rPr>
          <w:rFonts w:hint="eastAsia"/>
          <w:color w:val="auto"/>
          <w:sz w:val="24"/>
          <w:szCs w:val="24"/>
          <w:lang w:val="en-US" w:eastAsia="zh-CN"/>
        </w:rPr>
      </w:pPr>
      <w:r>
        <w:rPr>
          <w:rFonts w:hint="eastAsia"/>
          <w:color w:val="auto"/>
          <w:sz w:val="24"/>
          <w:szCs w:val="24"/>
        </w:rPr>
        <w:t>3.5.3“近年完成的类似项目”</w:t>
      </w:r>
      <w:r>
        <w:rPr>
          <w:rFonts w:hint="eastAsia"/>
          <w:color w:val="auto"/>
          <w:sz w:val="24"/>
          <w:szCs w:val="24"/>
          <w:lang w:eastAsia="zh-CN"/>
        </w:rPr>
        <w:t>：</w:t>
      </w:r>
      <w:r>
        <w:rPr>
          <w:rFonts w:hint="eastAsia" w:ascii="宋体" w:hAnsi="宋体" w:eastAsia="宋体" w:cs="宋体"/>
          <w:color w:val="auto"/>
          <w:sz w:val="24"/>
          <w:szCs w:val="24"/>
          <w:lang w:val="en-US" w:eastAsia="zh-CN"/>
        </w:rPr>
        <w:t>2019年1月1日至投标截止时间承担过一项建设规模不少于</w:t>
      </w:r>
      <w:r>
        <w:rPr>
          <w:rFonts w:hint="eastAsia" w:cs="宋体"/>
          <w:color w:val="auto"/>
          <w:sz w:val="24"/>
          <w:szCs w:val="24"/>
          <w:lang w:val="en-US" w:eastAsia="zh-CN"/>
        </w:rPr>
        <w:t>2</w:t>
      </w:r>
      <w:r>
        <w:rPr>
          <w:rFonts w:hint="eastAsia" w:ascii="宋体" w:hAnsi="宋体" w:eastAsia="宋体" w:cs="宋体"/>
          <w:color w:val="auto"/>
          <w:sz w:val="24"/>
          <w:szCs w:val="24"/>
          <w:lang w:val="en-US" w:eastAsia="zh-CN"/>
        </w:rPr>
        <w:t>KM的公路工程类（新建、改建、扩建、路面改造、路面大修等以公路标准设计施工建设）项目业绩。（业绩须提供“全国公路建设市场信用信息管理系统”网页截图或提供县级或县级以上公共资源交易中心盖章的中标通知书复印件、施工合同关键页证明复印件，时间和规模以“全国公路建设市场信用信息管理系统”上显示的开工日期或施工合同签订的时间及规模为准。本工程建设单位将核对业绩证明材料的真实性，如发现弄虚作假，将记入不良行为，在媒体上公告，已中标的取消中标资格）</w:t>
      </w:r>
    </w:p>
    <w:p>
      <w:pPr>
        <w:spacing w:line="360" w:lineRule="auto"/>
        <w:ind w:firstLine="480" w:firstLineChars="200"/>
        <w:rPr>
          <w:rFonts w:hint="eastAsia" w:eastAsia="宋体"/>
          <w:color w:val="auto"/>
          <w:sz w:val="24"/>
          <w:szCs w:val="24"/>
          <w:lang w:eastAsia="zh-CN"/>
        </w:rPr>
      </w:pPr>
      <w:r>
        <w:rPr>
          <w:rFonts w:hint="eastAsia"/>
          <w:color w:val="auto"/>
          <w:sz w:val="24"/>
          <w:szCs w:val="24"/>
          <w:highlight w:val="none"/>
        </w:rPr>
        <w:t>3.5.4“投标人的信誉情况表”应附投标人在国家企业信用信息公示系统中未被列入严重违法失信企业名单、在“信用中国”网站中未被列入失信被执行人名单的网页截图复印件</w:t>
      </w:r>
      <w:r>
        <w:rPr>
          <w:rFonts w:hint="eastAsia"/>
          <w:color w:val="auto"/>
          <w:sz w:val="24"/>
          <w:szCs w:val="24"/>
          <w:highlight w:val="none"/>
          <w:lang w:eastAsia="zh-CN"/>
        </w:rPr>
        <w:t>。</w:t>
      </w:r>
    </w:p>
    <w:p>
      <w:pPr>
        <w:spacing w:line="360" w:lineRule="auto"/>
        <w:ind w:firstLine="480" w:firstLineChars="200"/>
        <w:rPr>
          <w:rFonts w:hint="eastAsia"/>
          <w:color w:val="auto"/>
          <w:sz w:val="24"/>
          <w:szCs w:val="24"/>
          <w:highlight w:val="none"/>
        </w:rPr>
      </w:pPr>
      <w:r>
        <w:rPr>
          <w:rFonts w:hint="eastAsia"/>
          <w:color w:val="auto"/>
          <w:sz w:val="24"/>
          <w:szCs w:val="24"/>
          <w:highlight w:val="none"/>
        </w:rPr>
        <w:t>3.5.5“拟委任的项目经理和项目总工资历表”应同时附①项目经理和项目总工最低要求</w:t>
      </w:r>
      <w:r>
        <w:rPr>
          <w:rFonts w:hint="eastAsia"/>
          <w:color w:val="auto"/>
          <w:sz w:val="24"/>
          <w:szCs w:val="24"/>
          <w:highlight w:val="none"/>
          <w:lang w:eastAsia="zh-CN"/>
        </w:rPr>
        <w:t>资格证书</w:t>
      </w:r>
      <w:r>
        <w:rPr>
          <w:rFonts w:hint="eastAsia"/>
          <w:color w:val="auto"/>
          <w:sz w:val="24"/>
          <w:szCs w:val="24"/>
          <w:highlight w:val="none"/>
        </w:rPr>
        <w:t>打印件；</w:t>
      </w:r>
      <w:r>
        <w:rPr>
          <w:rFonts w:hint="eastAsia"/>
          <w:color w:val="auto"/>
          <w:sz w:val="24"/>
          <w:szCs w:val="24"/>
          <w:highlight w:val="none"/>
          <w:lang w:eastAsia="zh-CN"/>
        </w:rPr>
        <w:t>②</w:t>
      </w:r>
      <w:r>
        <w:rPr>
          <w:rFonts w:hint="eastAsia"/>
          <w:color w:val="auto"/>
          <w:sz w:val="24"/>
          <w:szCs w:val="24"/>
          <w:highlight w:val="none"/>
        </w:rPr>
        <w:t>投标人所属社保机构出具的拟委任的项目经理和项目总工的社保缴费证明或其他能够证明拟委任的项目经理和项目总工参加社保的有效证明材料复印件</w:t>
      </w:r>
      <w:r>
        <w:rPr>
          <w:rFonts w:hint="eastAsia"/>
          <w:color w:val="auto"/>
          <w:sz w:val="24"/>
          <w:szCs w:val="24"/>
          <w:highlight w:val="none"/>
          <w:lang w:eastAsia="zh-CN"/>
        </w:rPr>
        <w:t>（</w:t>
      </w:r>
      <w:r>
        <w:rPr>
          <w:rFonts w:hint="eastAsia"/>
          <w:color w:val="auto"/>
          <w:sz w:val="24"/>
          <w:szCs w:val="24"/>
          <w:highlight w:val="none"/>
        </w:rPr>
        <w:t>社保时段为</w:t>
      </w:r>
      <w:r>
        <w:rPr>
          <w:rFonts w:hint="eastAsia"/>
          <w:color w:val="auto"/>
          <w:sz w:val="24"/>
          <w:szCs w:val="24"/>
          <w:highlight w:val="none"/>
          <w:lang w:eastAsia="zh-CN"/>
        </w:rPr>
        <w:t>投标</w:t>
      </w:r>
      <w:r>
        <w:rPr>
          <w:rFonts w:hint="eastAsia"/>
          <w:color w:val="auto"/>
          <w:sz w:val="24"/>
          <w:szCs w:val="24"/>
          <w:highlight w:val="none"/>
        </w:rPr>
        <w:t>文件递交截止日前</w:t>
      </w:r>
      <w:r>
        <w:rPr>
          <w:rFonts w:hint="eastAsia"/>
          <w:color w:val="auto"/>
          <w:sz w:val="24"/>
          <w:szCs w:val="24"/>
          <w:highlight w:val="none"/>
          <w:lang w:eastAsia="zh-CN"/>
        </w:rPr>
        <w:t>近</w:t>
      </w:r>
      <w:r>
        <w:rPr>
          <w:rFonts w:hint="eastAsia"/>
          <w:color w:val="auto"/>
          <w:sz w:val="24"/>
          <w:szCs w:val="24"/>
          <w:highlight w:val="none"/>
          <w:lang w:val="en-US" w:eastAsia="zh-CN"/>
        </w:rPr>
        <w:t>3</w:t>
      </w:r>
      <w:r>
        <w:rPr>
          <w:rFonts w:hint="eastAsia"/>
          <w:color w:val="auto"/>
          <w:sz w:val="24"/>
          <w:szCs w:val="24"/>
          <w:highlight w:val="none"/>
        </w:rPr>
        <w:t>个月</w:t>
      </w:r>
      <w:r>
        <w:rPr>
          <w:rFonts w:hint="eastAsia"/>
          <w:color w:val="auto"/>
          <w:sz w:val="24"/>
          <w:szCs w:val="24"/>
          <w:highlight w:val="none"/>
          <w:lang w:eastAsia="zh-CN"/>
        </w:rPr>
        <w:t>，不含开标当月）</w:t>
      </w:r>
      <w:r>
        <w:rPr>
          <w:rFonts w:hint="eastAsia"/>
          <w:color w:val="auto"/>
          <w:sz w:val="24"/>
          <w:szCs w:val="24"/>
          <w:highlight w:val="none"/>
        </w:rPr>
        <w:t>。</w:t>
      </w:r>
    </w:p>
    <w:p>
      <w:pPr>
        <w:spacing w:line="360" w:lineRule="auto"/>
        <w:ind w:firstLine="480" w:firstLineChars="200"/>
        <w:rPr>
          <w:rFonts w:hint="eastAsia"/>
          <w:color w:val="auto"/>
          <w:sz w:val="24"/>
          <w:szCs w:val="24"/>
          <w:highlight w:val="none"/>
        </w:rPr>
      </w:pPr>
      <w:r>
        <w:rPr>
          <w:rFonts w:hint="eastAsia"/>
          <w:color w:val="auto"/>
          <w:sz w:val="24"/>
          <w:szCs w:val="24"/>
          <w:highlight w:val="none"/>
        </w:rPr>
        <w:t>除上述资料外，投标人无需再提供任何证明材料。</w:t>
      </w:r>
    </w:p>
    <w:p>
      <w:pPr>
        <w:spacing w:line="360" w:lineRule="auto"/>
        <w:ind w:firstLine="480" w:firstLineChars="200"/>
        <w:rPr>
          <w:rFonts w:hint="eastAsia"/>
          <w:color w:val="auto"/>
          <w:sz w:val="24"/>
          <w:szCs w:val="24"/>
          <w:highlight w:val="none"/>
        </w:rPr>
      </w:pPr>
      <w:r>
        <w:rPr>
          <w:rFonts w:hint="eastAsia"/>
          <w:color w:val="auto"/>
          <w:sz w:val="24"/>
          <w:szCs w:val="24"/>
          <w:highlight w:val="none"/>
        </w:rPr>
        <w:t>如项目经理目前仍在其他项目上任职，则投标人应按投标函的格式承诺上述人员能够从该项目撤离。</w:t>
      </w:r>
    </w:p>
    <w:p>
      <w:pPr>
        <w:spacing w:line="360" w:lineRule="auto"/>
        <w:ind w:firstLine="480" w:firstLineChars="200"/>
        <w:rPr>
          <w:color w:val="auto"/>
          <w:sz w:val="24"/>
          <w:szCs w:val="24"/>
        </w:rPr>
      </w:pPr>
      <w:r>
        <w:rPr>
          <w:rFonts w:hint="eastAsia"/>
          <w:color w:val="auto"/>
          <w:sz w:val="24"/>
          <w:szCs w:val="24"/>
        </w:rPr>
        <w:t>3.5.</w:t>
      </w:r>
      <w:r>
        <w:rPr>
          <w:rFonts w:hint="eastAsia"/>
          <w:color w:val="auto"/>
          <w:sz w:val="24"/>
          <w:szCs w:val="24"/>
          <w:lang w:val="en-US" w:eastAsia="zh-CN"/>
        </w:rPr>
        <w:t>6</w:t>
      </w:r>
      <w:r>
        <w:rPr>
          <w:rFonts w:hint="eastAsia"/>
          <w:color w:val="auto"/>
          <w:sz w:val="24"/>
          <w:szCs w:val="24"/>
        </w:rPr>
        <w:t>除合同条款约定的特殊情形外，投标人在投标文件中填报的项目经理和项目总工不允许更换。</w:t>
      </w:r>
    </w:p>
    <w:p>
      <w:pPr>
        <w:spacing w:line="360" w:lineRule="auto"/>
        <w:ind w:firstLine="480" w:firstLineChars="200"/>
        <w:rPr>
          <w:color w:val="auto"/>
          <w:sz w:val="24"/>
          <w:szCs w:val="24"/>
        </w:rPr>
      </w:pPr>
      <w:r>
        <w:rPr>
          <w:rFonts w:hint="eastAsia"/>
          <w:color w:val="auto"/>
          <w:sz w:val="24"/>
          <w:szCs w:val="24"/>
        </w:rPr>
        <w:t>3.5.</w:t>
      </w:r>
      <w:r>
        <w:rPr>
          <w:rFonts w:hint="eastAsia"/>
          <w:color w:val="auto"/>
          <w:sz w:val="24"/>
          <w:szCs w:val="24"/>
          <w:lang w:val="en-US" w:eastAsia="zh-CN"/>
        </w:rPr>
        <w:t>7</w:t>
      </w:r>
      <w:r>
        <w:rPr>
          <w:rFonts w:hint="eastAsia"/>
          <w:color w:val="auto"/>
          <w:sz w:val="24"/>
          <w:szCs w:val="24"/>
        </w:rPr>
        <w:t>投标人在投标文件中填报的资质、主要人员资历和目前在岗情况、信用等级等</w:t>
      </w:r>
      <w:r>
        <w:rPr>
          <w:rFonts w:hint="eastAsia"/>
          <w:color w:val="auto"/>
          <w:sz w:val="24"/>
          <w:szCs w:val="24"/>
          <w:lang w:val="en-US"/>
        </w:rPr>
        <w:t>信</w:t>
      </w:r>
      <w:r>
        <w:rPr>
          <w:rFonts w:hint="eastAsia"/>
          <w:color w:val="auto"/>
          <w:sz w:val="24"/>
          <w:szCs w:val="24"/>
        </w:rPr>
        <w:t>息，应与其在交通运输主管部门“公路建设市场信用信息管理系统”上填报并发布的相关信息一致。并对相关信息的真实性、完整性和准确性负责。</w:t>
      </w:r>
    </w:p>
    <w:p>
      <w:pPr>
        <w:spacing w:line="360" w:lineRule="auto"/>
        <w:ind w:firstLine="480" w:firstLineChars="200"/>
        <w:rPr>
          <w:color w:val="auto"/>
        </w:rPr>
      </w:pPr>
      <w:r>
        <w:rPr>
          <w:rFonts w:hint="eastAsia"/>
          <w:color w:val="auto"/>
          <w:sz w:val="24"/>
          <w:szCs w:val="24"/>
        </w:rPr>
        <w:t>3.5.</w:t>
      </w:r>
      <w:r>
        <w:rPr>
          <w:rFonts w:hint="eastAsia"/>
          <w:color w:val="auto"/>
          <w:sz w:val="24"/>
          <w:szCs w:val="24"/>
          <w:lang w:val="en-US" w:eastAsia="zh-CN"/>
        </w:rPr>
        <w:t>8</w:t>
      </w:r>
      <w:r>
        <w:rPr>
          <w:rFonts w:hint="eastAsia"/>
          <w:color w:val="auto"/>
          <w:sz w:val="24"/>
          <w:szCs w:val="24"/>
        </w:rPr>
        <w:t>招标人有权核查投标人在资格预审申请文件和投标文件中提供的资料，若在评标期间发现投标人提供了虚假资料，其投标将被否决；若在签订合同前发现作为中标候选人的投标人提供了虚假资料，招标人有权</w:t>
      </w:r>
      <w:r>
        <w:rPr>
          <w:rFonts w:hint="eastAsia"/>
          <w:color w:val="auto"/>
          <w:sz w:val="24"/>
          <w:szCs w:val="24"/>
          <w:lang w:eastAsia="zh-CN"/>
        </w:rPr>
        <w:t>取消</w:t>
      </w:r>
      <w:r>
        <w:rPr>
          <w:rFonts w:hint="eastAsia"/>
          <w:color w:val="auto"/>
          <w:sz w:val="24"/>
          <w:szCs w:val="24"/>
        </w:rPr>
        <w:t>其中标资格；若在合同实施期间发现投标人提供了虚假资料，招标人有权从工程支付款或履约保证金中扣除不超过10％签约合同价的金额作为违约金。同时招标人将投标人上述弄虚作假行为上报省级交通运输主管部门，作为不良记录纳入公路建设市场信用信息管理系统。</w:t>
      </w:r>
    </w:p>
    <w:p>
      <w:pPr>
        <w:spacing w:line="360" w:lineRule="auto"/>
        <w:rPr>
          <w:color w:val="auto"/>
          <w:lang w:val="en-US"/>
        </w:rPr>
      </w:pPr>
      <w:r>
        <w:rPr>
          <w:rFonts w:hint="eastAsia"/>
          <w:b/>
          <w:bCs/>
          <w:color w:val="auto"/>
          <w:sz w:val="24"/>
          <w:szCs w:val="24"/>
        </w:rPr>
        <w:t>3.6备选投标方案：</w:t>
      </w:r>
      <w:r>
        <w:rPr>
          <w:rFonts w:hint="eastAsia"/>
          <w:b w:val="0"/>
          <w:bCs w:val="0"/>
          <w:color w:val="auto"/>
          <w:sz w:val="24"/>
          <w:szCs w:val="24"/>
          <w:lang w:val="en-US"/>
        </w:rPr>
        <w:t>不允许。</w:t>
      </w:r>
    </w:p>
    <w:p>
      <w:pPr>
        <w:spacing w:line="360" w:lineRule="auto"/>
        <w:rPr>
          <w:b/>
          <w:bCs/>
          <w:color w:val="auto"/>
          <w:sz w:val="24"/>
          <w:szCs w:val="24"/>
        </w:rPr>
      </w:pPr>
      <w:r>
        <w:rPr>
          <w:rFonts w:hint="eastAsia"/>
          <w:b/>
          <w:bCs/>
          <w:color w:val="auto"/>
          <w:sz w:val="24"/>
          <w:szCs w:val="24"/>
        </w:rPr>
        <w:t>3.7投标文件的编制</w:t>
      </w:r>
    </w:p>
    <w:p>
      <w:pPr>
        <w:spacing w:line="360" w:lineRule="auto"/>
        <w:ind w:firstLine="480" w:firstLineChars="200"/>
        <w:rPr>
          <w:color w:val="auto"/>
          <w:sz w:val="24"/>
          <w:szCs w:val="24"/>
        </w:rPr>
      </w:pPr>
      <w:r>
        <w:rPr>
          <w:rFonts w:hint="eastAsia"/>
          <w:color w:val="auto"/>
          <w:sz w:val="24"/>
          <w:szCs w:val="24"/>
        </w:rPr>
        <w:t>3.7.1投标文件应按第九章“投标文件格式”进行编写，如有必要，可以增加附页，作为投标文件的组成部分。其中，投标函附录在满足招标文件实质性要求的基础上，可以提出比招标文件要求更有利于招标人的承诺。</w:t>
      </w:r>
    </w:p>
    <w:p>
      <w:pPr>
        <w:spacing w:line="360" w:lineRule="auto"/>
        <w:ind w:firstLine="480" w:firstLineChars="200"/>
        <w:rPr>
          <w:color w:val="auto"/>
          <w:sz w:val="24"/>
          <w:szCs w:val="24"/>
        </w:rPr>
      </w:pPr>
      <w:r>
        <w:rPr>
          <w:rFonts w:hint="eastAsia"/>
          <w:color w:val="auto"/>
          <w:sz w:val="24"/>
          <w:szCs w:val="24"/>
        </w:rPr>
        <w:t>3.7.2投标文件应对招标文件有关工期、投标有效期、质量要求、安全目标等实质性内容作出响应。</w:t>
      </w:r>
    </w:p>
    <w:p>
      <w:pPr>
        <w:spacing w:line="360" w:lineRule="auto"/>
        <w:ind w:firstLine="480" w:firstLineChars="200"/>
        <w:rPr>
          <w:color w:val="auto"/>
          <w:sz w:val="24"/>
          <w:szCs w:val="24"/>
        </w:rPr>
      </w:pPr>
      <w:r>
        <w:rPr>
          <w:rFonts w:hint="eastAsia"/>
          <w:color w:val="auto"/>
          <w:sz w:val="24"/>
          <w:szCs w:val="24"/>
        </w:rPr>
        <w:t>3.7.3投标文件应用不褪色的材料书写或打印。投标文件格式中明确要求投标人法定代表人或其委托代理人签字之处，由相关人员签名；明确要求投标人加盖单位章之处，必须加盖单位章。其中，投标函及对投标文件的澄清和说明应加盖投标人单位章，或由投标人的法定代表人或其委托代理人签字。</w:t>
      </w:r>
    </w:p>
    <w:p>
      <w:pPr>
        <w:spacing w:line="360" w:lineRule="auto"/>
        <w:ind w:firstLine="480" w:firstLineChars="200"/>
        <w:rPr>
          <w:color w:val="auto"/>
          <w:sz w:val="24"/>
          <w:szCs w:val="24"/>
        </w:rPr>
      </w:pPr>
      <w:r>
        <w:rPr>
          <w:rFonts w:hint="eastAsia"/>
          <w:color w:val="auto"/>
          <w:sz w:val="24"/>
          <w:szCs w:val="24"/>
        </w:rPr>
        <w:t>如果投标文件由委托代理人签署，则投标人须提交授权委托书，授权委托书应按第九章“投标文件格式”的要求出具，并由法定代表人和委托代理人签名。</w:t>
      </w:r>
    </w:p>
    <w:p>
      <w:pPr>
        <w:spacing w:line="360" w:lineRule="auto"/>
        <w:ind w:firstLine="480" w:firstLineChars="200"/>
        <w:rPr>
          <w:color w:val="auto"/>
          <w:sz w:val="24"/>
          <w:szCs w:val="24"/>
        </w:rPr>
      </w:pPr>
      <w:r>
        <w:rPr>
          <w:rFonts w:hint="eastAsia"/>
          <w:color w:val="auto"/>
          <w:sz w:val="24"/>
          <w:szCs w:val="24"/>
        </w:rPr>
        <w:t>如果由投标人的法定代表人签署投标文件，则投标人须提交法定代表人身份证明，身份证明应符合第九章“投标文件格式”的要求。</w:t>
      </w:r>
    </w:p>
    <w:p>
      <w:pPr>
        <w:spacing w:line="360" w:lineRule="auto"/>
        <w:ind w:firstLine="480" w:firstLineChars="200"/>
        <w:rPr>
          <w:color w:val="auto"/>
          <w:sz w:val="24"/>
          <w:szCs w:val="24"/>
        </w:rPr>
      </w:pPr>
      <w:r>
        <w:rPr>
          <w:rFonts w:hint="eastAsia"/>
          <w:color w:val="auto"/>
          <w:sz w:val="24"/>
          <w:szCs w:val="24"/>
        </w:rPr>
        <w:t>投标文件应尽量避免涂改、行间插字或删除。如果出现上述情况，改动之处应由投标人的法定代表人或其授权的代理人签字或盖单位章。</w:t>
      </w:r>
    </w:p>
    <w:p>
      <w:pPr>
        <w:spacing w:line="360" w:lineRule="auto"/>
        <w:ind w:firstLine="480" w:firstLineChars="200"/>
        <w:rPr>
          <w:color w:val="auto"/>
        </w:rPr>
      </w:pPr>
      <w:r>
        <w:rPr>
          <w:rFonts w:hint="eastAsia"/>
          <w:color w:val="auto"/>
          <w:sz w:val="24"/>
          <w:szCs w:val="24"/>
        </w:rPr>
        <w:t>3.7.4</w:t>
      </w:r>
      <w:r>
        <w:rPr>
          <w:rFonts w:hint="eastAsia"/>
          <w:color w:val="auto"/>
          <w:sz w:val="24"/>
          <w:szCs w:val="24"/>
          <w:lang w:val="en-US" w:eastAsia="zh-CN"/>
        </w:rPr>
        <w:t>投标文件份数及其他要求</w:t>
      </w:r>
      <w:r>
        <w:rPr>
          <w:rFonts w:hint="eastAsia"/>
          <w:color w:val="auto"/>
          <w:sz w:val="24"/>
          <w:szCs w:val="24"/>
        </w:rPr>
        <w:t>见投标人须知前附表。</w:t>
      </w:r>
    </w:p>
    <w:p>
      <w:pPr>
        <w:spacing w:line="360" w:lineRule="auto"/>
        <w:rPr>
          <w:rFonts w:hint="eastAsia"/>
          <w:b/>
          <w:bCs/>
          <w:color w:val="auto"/>
          <w:sz w:val="28"/>
          <w:szCs w:val="28"/>
        </w:rPr>
      </w:pPr>
      <w:r>
        <w:rPr>
          <w:rFonts w:hint="eastAsia"/>
          <w:b/>
          <w:bCs/>
          <w:color w:val="auto"/>
          <w:sz w:val="28"/>
          <w:szCs w:val="28"/>
        </w:rPr>
        <w:t>4.投标</w:t>
      </w:r>
    </w:p>
    <w:p>
      <w:pPr>
        <w:spacing w:line="360" w:lineRule="auto"/>
        <w:rPr>
          <w:b/>
          <w:bCs/>
          <w:color w:val="auto"/>
          <w:sz w:val="24"/>
          <w:szCs w:val="24"/>
        </w:rPr>
      </w:pPr>
      <w:r>
        <w:rPr>
          <w:rFonts w:hint="eastAsia"/>
          <w:b/>
          <w:bCs/>
          <w:color w:val="auto"/>
          <w:sz w:val="24"/>
          <w:szCs w:val="24"/>
        </w:rPr>
        <w:t>4.1投标文件的密封和标识</w:t>
      </w:r>
    </w:p>
    <w:p>
      <w:pPr>
        <w:spacing w:line="360" w:lineRule="auto"/>
        <w:ind w:firstLine="480" w:firstLineChars="200"/>
        <w:rPr>
          <w:rFonts w:hint="eastAsia"/>
          <w:b w:val="0"/>
          <w:bCs w:val="0"/>
          <w:color w:val="auto"/>
          <w:sz w:val="24"/>
          <w:szCs w:val="24"/>
          <w:highlight w:val="none"/>
          <w:lang w:val="en-US" w:eastAsia="zh-CN"/>
        </w:rPr>
      </w:pPr>
      <w:r>
        <w:rPr>
          <w:rFonts w:hint="eastAsia"/>
          <w:b w:val="0"/>
          <w:bCs w:val="0"/>
          <w:color w:val="000000" w:themeColor="text1"/>
          <w:sz w:val="24"/>
          <w:szCs w:val="24"/>
          <w:highlight w:val="none"/>
          <w14:textFill>
            <w14:solidFill>
              <w14:schemeClr w14:val="tx1"/>
            </w14:solidFill>
          </w14:textFill>
        </w:rPr>
        <w:t>4.1.1</w:t>
      </w:r>
      <w:r>
        <w:rPr>
          <w:rFonts w:hint="eastAsia"/>
          <w:b w:val="0"/>
          <w:bCs w:val="0"/>
          <w:color w:val="000000" w:themeColor="text1"/>
          <w:sz w:val="24"/>
          <w:szCs w:val="24"/>
          <w:highlight w:val="none"/>
          <w:lang w:val="en-US" w:eastAsia="zh-CN"/>
          <w14:textFill>
            <w14:solidFill>
              <w14:schemeClr w14:val="tx1"/>
            </w14:solidFill>
          </w14:textFill>
        </w:rPr>
        <w:t>投标文件应采用双信封形式密封。投标文件第一个信封（商务及技术文件）以及第二个信封（报价文件）应单独密封包装。投标文件第一个信封（商务及技术文件）电子文件（U盘）应统一密封在一个封套中。第二个信封（报价文件）电子文件（U盘）应统一密封在另一个封套中。封套应加贴密封条，并在封口处加盖投标人法人私章及单位公章。</w:t>
      </w:r>
    </w:p>
    <w:p>
      <w:pPr>
        <w:spacing w:line="360" w:lineRule="auto"/>
        <w:ind w:firstLine="480" w:firstLineChars="200"/>
        <w:rPr>
          <w:rFonts w:hint="eastAsia"/>
          <w:b w:val="0"/>
          <w:bCs w:val="0"/>
          <w:color w:val="auto"/>
          <w:sz w:val="24"/>
          <w:szCs w:val="24"/>
          <w:highlight w:val="none"/>
          <w:lang w:val="en-US" w:eastAsia="zh-CN"/>
        </w:rPr>
      </w:pPr>
      <w:r>
        <w:rPr>
          <w:rFonts w:hint="eastAsia"/>
          <w:b w:val="0"/>
          <w:bCs w:val="0"/>
          <w:color w:val="auto"/>
          <w:sz w:val="24"/>
          <w:szCs w:val="24"/>
          <w:highlight w:val="none"/>
          <w:lang w:val="en-US" w:eastAsia="zh-CN"/>
        </w:rPr>
        <w:t>采用银行保函或担保公司保函形式提交投标保证金的，保函原件应密封在单独的封套中，封套应加贴密封条，并在封口处加盖投标人法人私章及单位公章。</w:t>
      </w:r>
    </w:p>
    <w:p>
      <w:pPr>
        <w:spacing w:line="360" w:lineRule="auto"/>
        <w:ind w:firstLine="480" w:firstLineChars="200"/>
        <w:rPr>
          <w:b w:val="0"/>
          <w:bCs w:val="0"/>
          <w:color w:val="auto"/>
          <w:sz w:val="24"/>
          <w:szCs w:val="24"/>
          <w:highlight w:val="none"/>
        </w:rPr>
      </w:pPr>
      <w:r>
        <w:rPr>
          <w:rFonts w:hint="eastAsia"/>
          <w:b w:val="0"/>
          <w:bCs w:val="0"/>
          <w:color w:val="auto"/>
          <w:sz w:val="24"/>
          <w:szCs w:val="24"/>
          <w:highlight w:val="none"/>
          <w:lang w:val="en-US" w:eastAsia="zh-CN"/>
        </w:rPr>
        <w:t>4.1.2投标文件第一个信封（商务及技术文件）、第二个信封（报价文件）封套上应写明的内容见投标人须知前附表</w:t>
      </w:r>
      <w:r>
        <w:rPr>
          <w:rFonts w:hint="eastAsia"/>
          <w:b w:val="0"/>
          <w:bCs w:val="0"/>
          <w:color w:val="auto"/>
          <w:sz w:val="24"/>
          <w:szCs w:val="24"/>
          <w:highlight w:val="none"/>
        </w:rPr>
        <w:t>。</w:t>
      </w:r>
    </w:p>
    <w:p>
      <w:pPr>
        <w:spacing w:line="360" w:lineRule="auto"/>
        <w:rPr>
          <w:b/>
          <w:bCs/>
          <w:color w:val="auto"/>
          <w:sz w:val="24"/>
          <w:szCs w:val="24"/>
        </w:rPr>
      </w:pPr>
      <w:r>
        <w:rPr>
          <w:rFonts w:hint="eastAsia"/>
          <w:b/>
          <w:bCs/>
          <w:color w:val="auto"/>
          <w:sz w:val="24"/>
          <w:szCs w:val="24"/>
        </w:rPr>
        <w:t>4.2投标文件的递交</w:t>
      </w:r>
    </w:p>
    <w:p>
      <w:pPr>
        <w:spacing w:line="360" w:lineRule="auto"/>
        <w:ind w:firstLine="480" w:firstLineChars="200"/>
        <w:rPr>
          <w:color w:val="auto"/>
          <w:sz w:val="24"/>
          <w:szCs w:val="24"/>
        </w:rPr>
      </w:pPr>
      <w:r>
        <w:rPr>
          <w:rFonts w:hint="eastAsia"/>
          <w:color w:val="auto"/>
          <w:sz w:val="24"/>
          <w:szCs w:val="24"/>
        </w:rPr>
        <w:t>4.2.1投标人应在投标人须知前附表规定的投标截止时间前递交投标文件。</w:t>
      </w:r>
    </w:p>
    <w:p>
      <w:pPr>
        <w:spacing w:line="360" w:lineRule="auto"/>
        <w:ind w:firstLine="480" w:firstLineChars="200"/>
        <w:rPr>
          <w:color w:val="auto"/>
          <w:sz w:val="24"/>
          <w:szCs w:val="24"/>
        </w:rPr>
      </w:pPr>
      <w:r>
        <w:rPr>
          <w:rFonts w:hint="eastAsia"/>
          <w:color w:val="auto"/>
          <w:sz w:val="24"/>
          <w:szCs w:val="24"/>
        </w:rPr>
        <w:t>4.2.2投标人递交投标文件的地点：见投标人须知前附表。</w:t>
      </w:r>
    </w:p>
    <w:p>
      <w:pPr>
        <w:spacing w:line="360" w:lineRule="auto"/>
        <w:ind w:firstLine="480" w:firstLineChars="200"/>
        <w:rPr>
          <w:color w:val="auto"/>
          <w:sz w:val="24"/>
          <w:szCs w:val="24"/>
        </w:rPr>
      </w:pPr>
      <w:r>
        <w:rPr>
          <w:rFonts w:hint="eastAsia"/>
          <w:color w:val="auto"/>
          <w:sz w:val="24"/>
          <w:szCs w:val="24"/>
        </w:rPr>
        <w:t>4.2.3除投标人须知前附表另有规定外，投标人所递交的投标文件不予退还。投标人少于3个的，投标文件当场退还给投标人。</w:t>
      </w:r>
    </w:p>
    <w:p>
      <w:pPr>
        <w:spacing w:line="360" w:lineRule="auto"/>
        <w:ind w:firstLine="480" w:firstLineChars="200"/>
        <w:rPr>
          <w:color w:val="auto"/>
          <w:sz w:val="24"/>
          <w:szCs w:val="24"/>
          <w:lang w:val="en-US"/>
        </w:rPr>
      </w:pPr>
      <w:r>
        <w:rPr>
          <w:rFonts w:hint="eastAsia"/>
          <w:color w:val="auto"/>
          <w:sz w:val="24"/>
          <w:szCs w:val="24"/>
        </w:rPr>
        <w:t>4.2.4投标人在递交投标文件时，应在递交文件登记表上签字，同时招标人负责接收投标文件的工作人员也应在递交文件登记表上签字确认收到该投标人的投标文件。投标人应对开标情况记录表进行了签名确认视为无异议。</w:t>
      </w:r>
    </w:p>
    <w:p>
      <w:pPr>
        <w:spacing w:line="360" w:lineRule="auto"/>
        <w:ind w:firstLine="480" w:firstLineChars="200"/>
        <w:rPr>
          <w:color w:val="auto"/>
          <w:sz w:val="24"/>
          <w:szCs w:val="24"/>
        </w:rPr>
      </w:pPr>
      <w:r>
        <w:rPr>
          <w:rFonts w:hint="eastAsia"/>
          <w:color w:val="auto"/>
          <w:sz w:val="24"/>
          <w:szCs w:val="24"/>
        </w:rPr>
        <w:t>4.2.5逾期送达的或未送达指定地点的投标文件，招标人将予以拒收。</w:t>
      </w:r>
    </w:p>
    <w:p>
      <w:pPr>
        <w:spacing w:line="360" w:lineRule="auto"/>
        <w:rPr>
          <w:b/>
          <w:bCs/>
          <w:color w:val="auto"/>
          <w:sz w:val="24"/>
          <w:szCs w:val="24"/>
        </w:rPr>
      </w:pPr>
      <w:r>
        <w:rPr>
          <w:rFonts w:hint="eastAsia"/>
          <w:b/>
          <w:bCs/>
          <w:color w:val="auto"/>
          <w:sz w:val="24"/>
          <w:szCs w:val="24"/>
        </w:rPr>
        <w:t>4.3投标文件的修改与撤回</w:t>
      </w:r>
    </w:p>
    <w:p>
      <w:pPr>
        <w:spacing w:line="360" w:lineRule="auto"/>
        <w:ind w:firstLine="480" w:firstLineChars="200"/>
        <w:rPr>
          <w:color w:val="auto"/>
          <w:sz w:val="24"/>
          <w:szCs w:val="24"/>
        </w:rPr>
      </w:pPr>
      <w:r>
        <w:rPr>
          <w:rFonts w:hint="eastAsia"/>
          <w:color w:val="auto"/>
          <w:sz w:val="24"/>
          <w:szCs w:val="24"/>
        </w:rPr>
        <w:t>4.3.1在投标人须知前附表规定的投标截止时间前，投标人可以修改或撤回已递交的投标文件，但应以书面形式通知招标人。</w:t>
      </w:r>
    </w:p>
    <w:p>
      <w:pPr>
        <w:spacing w:line="360" w:lineRule="auto"/>
        <w:ind w:firstLine="480" w:firstLineChars="200"/>
        <w:rPr>
          <w:color w:val="auto"/>
          <w:sz w:val="24"/>
          <w:szCs w:val="24"/>
        </w:rPr>
      </w:pPr>
      <w:r>
        <w:rPr>
          <w:rFonts w:hint="eastAsia"/>
          <w:color w:val="auto"/>
          <w:sz w:val="24"/>
          <w:szCs w:val="24"/>
        </w:rPr>
        <w:t>4.3.2</w:t>
      </w:r>
      <w:r>
        <w:rPr>
          <w:rFonts w:hint="eastAsia"/>
          <w:color w:val="auto"/>
          <w:sz w:val="24"/>
        </w:rPr>
        <w:t>投标人修改或撤回已递交投标文件的书面通知应按照本章第3.7.3项的要求签字或盖章。招标人收到书面通知后，向投标人出具签收凭证。</w:t>
      </w:r>
    </w:p>
    <w:p>
      <w:pPr>
        <w:spacing w:line="360" w:lineRule="auto"/>
        <w:ind w:firstLine="480" w:firstLineChars="200"/>
        <w:rPr>
          <w:color w:val="auto"/>
          <w:sz w:val="24"/>
          <w:szCs w:val="24"/>
        </w:rPr>
      </w:pPr>
      <w:r>
        <w:rPr>
          <w:rFonts w:hint="eastAsia"/>
          <w:color w:val="auto"/>
          <w:sz w:val="24"/>
          <w:szCs w:val="24"/>
        </w:rPr>
        <w:t>4.3.3投标人撤回投标文件的，招标人自收到投标人书面撤回通知之日起5日内退还已收取的投标保证金。</w:t>
      </w:r>
    </w:p>
    <w:p>
      <w:pPr>
        <w:spacing w:line="360" w:lineRule="auto"/>
        <w:ind w:firstLine="480" w:firstLineChars="200"/>
        <w:rPr>
          <w:rFonts w:hint="eastAsia"/>
          <w:color w:val="auto"/>
          <w:sz w:val="24"/>
          <w:szCs w:val="24"/>
        </w:rPr>
      </w:pPr>
      <w:r>
        <w:rPr>
          <w:rFonts w:hint="eastAsia"/>
          <w:color w:val="auto"/>
          <w:sz w:val="24"/>
          <w:szCs w:val="24"/>
        </w:rPr>
        <w:t>4.3.4修改的内容为投标文件的组成部分。修改的投标文件应按照本章第3条、第4条的规定进行编制、密封、标记和递交，并标明“修改”字样。</w:t>
      </w:r>
    </w:p>
    <w:p>
      <w:pPr>
        <w:spacing w:line="360" w:lineRule="auto"/>
        <w:rPr>
          <w:rFonts w:hint="eastAsia"/>
          <w:b/>
          <w:bCs/>
          <w:color w:val="auto"/>
          <w:sz w:val="28"/>
          <w:szCs w:val="28"/>
        </w:rPr>
      </w:pPr>
      <w:r>
        <w:rPr>
          <w:rFonts w:hint="eastAsia"/>
          <w:b/>
          <w:bCs/>
          <w:color w:val="auto"/>
          <w:sz w:val="28"/>
          <w:szCs w:val="28"/>
        </w:rPr>
        <w:t>5.开标</w:t>
      </w:r>
    </w:p>
    <w:p>
      <w:pPr>
        <w:spacing w:line="360" w:lineRule="auto"/>
        <w:rPr>
          <w:b/>
          <w:bCs/>
          <w:color w:val="auto"/>
          <w:sz w:val="24"/>
          <w:szCs w:val="24"/>
        </w:rPr>
      </w:pPr>
      <w:r>
        <w:rPr>
          <w:rFonts w:hint="eastAsia"/>
          <w:b/>
          <w:bCs/>
          <w:color w:val="auto"/>
          <w:sz w:val="24"/>
          <w:szCs w:val="24"/>
        </w:rPr>
        <w:t>5.1开标时间和地点</w:t>
      </w:r>
    </w:p>
    <w:p>
      <w:pPr>
        <w:spacing w:line="360" w:lineRule="auto"/>
        <w:ind w:firstLine="480" w:firstLineChars="200"/>
        <w:rPr>
          <w:color w:val="auto"/>
          <w:sz w:val="24"/>
          <w:szCs w:val="24"/>
        </w:rPr>
      </w:pPr>
      <w:r>
        <w:rPr>
          <w:rFonts w:hint="eastAsia"/>
          <w:color w:val="auto"/>
          <w:sz w:val="24"/>
          <w:szCs w:val="24"/>
        </w:rPr>
        <w:t>招标人在本章第4.2.1项规定的投标截止时间（开标时间）和投标人须知前附表规定的地点对收到的投标文件第一个信封（商务及技术文件）公开开标，并邀请所有投标人的法定代表人或其委托代理人准时参加。</w:t>
      </w:r>
    </w:p>
    <w:p>
      <w:pPr>
        <w:spacing w:line="360" w:lineRule="auto"/>
        <w:ind w:firstLine="480" w:firstLineChars="200"/>
        <w:rPr>
          <w:color w:val="auto"/>
          <w:sz w:val="24"/>
          <w:szCs w:val="24"/>
        </w:rPr>
      </w:pPr>
      <w:r>
        <w:rPr>
          <w:rFonts w:hint="eastAsia"/>
          <w:color w:val="auto"/>
          <w:sz w:val="24"/>
          <w:szCs w:val="24"/>
        </w:rPr>
        <w:t>招标人在投标人须知前附表规定的时间和地点对投标文件第二个信封（报价文件）公开开标，并邀请所有投标人的法定代表人或其委托代理人准时参加。</w:t>
      </w:r>
    </w:p>
    <w:p>
      <w:pPr>
        <w:spacing w:line="360" w:lineRule="auto"/>
        <w:ind w:firstLine="480" w:firstLineChars="200"/>
        <w:rPr>
          <w:color w:val="auto"/>
          <w:sz w:val="24"/>
          <w:szCs w:val="24"/>
        </w:rPr>
      </w:pPr>
      <w:r>
        <w:rPr>
          <w:rFonts w:hint="eastAsia"/>
          <w:color w:val="auto"/>
          <w:sz w:val="24"/>
          <w:szCs w:val="24"/>
        </w:rPr>
        <w:t>投标人若未派法定代表人或委托代理人出席开标活动，视为该投标人默认开标结果。</w:t>
      </w:r>
    </w:p>
    <w:p>
      <w:pPr>
        <w:spacing w:line="360" w:lineRule="auto"/>
        <w:rPr>
          <w:rFonts w:hint="eastAsia"/>
          <w:b/>
          <w:bCs/>
          <w:color w:val="auto"/>
          <w:sz w:val="24"/>
          <w:szCs w:val="24"/>
        </w:rPr>
      </w:pPr>
      <w:r>
        <w:rPr>
          <w:rFonts w:hint="eastAsia"/>
          <w:b/>
          <w:bCs/>
          <w:color w:val="auto"/>
          <w:sz w:val="24"/>
          <w:szCs w:val="24"/>
        </w:rPr>
        <w:t>5.2开标程序</w:t>
      </w:r>
    </w:p>
    <w:p>
      <w:pPr>
        <w:spacing w:line="360" w:lineRule="auto"/>
        <w:ind w:firstLine="480" w:firstLineChars="200"/>
        <w:rPr>
          <w:color w:val="auto"/>
          <w:sz w:val="24"/>
          <w:szCs w:val="24"/>
        </w:rPr>
      </w:pPr>
      <w:r>
        <w:rPr>
          <w:rFonts w:hint="eastAsia"/>
          <w:color w:val="auto"/>
          <w:sz w:val="24"/>
          <w:szCs w:val="24"/>
        </w:rPr>
        <w:t>5.2.1主持人按下列程序对投标文件第一个信封（商务及技术文件）进行开标：</w:t>
      </w:r>
    </w:p>
    <w:p>
      <w:pPr>
        <w:spacing w:line="360" w:lineRule="auto"/>
        <w:ind w:firstLine="480" w:firstLineChars="200"/>
        <w:rPr>
          <w:color w:val="auto"/>
          <w:sz w:val="24"/>
          <w:szCs w:val="24"/>
        </w:rPr>
      </w:pPr>
      <w:r>
        <w:rPr>
          <w:rFonts w:hint="eastAsia"/>
          <w:color w:val="auto"/>
          <w:sz w:val="24"/>
          <w:szCs w:val="24"/>
        </w:rPr>
        <w:t>（1）宣布开标纪律；</w:t>
      </w:r>
    </w:p>
    <w:p>
      <w:pPr>
        <w:spacing w:line="360" w:lineRule="auto"/>
        <w:ind w:firstLine="480" w:firstLineChars="200"/>
        <w:rPr>
          <w:color w:val="auto"/>
          <w:sz w:val="24"/>
          <w:szCs w:val="24"/>
        </w:rPr>
      </w:pPr>
      <w:r>
        <w:rPr>
          <w:rFonts w:hint="eastAsia"/>
          <w:color w:val="auto"/>
          <w:sz w:val="24"/>
          <w:szCs w:val="24"/>
        </w:rPr>
        <w:t>（2）公布在投标截止时间前递交投标文件的投标人数量；</w:t>
      </w:r>
    </w:p>
    <w:p>
      <w:pPr>
        <w:spacing w:line="360" w:lineRule="auto"/>
        <w:ind w:firstLine="480" w:firstLineChars="200"/>
        <w:rPr>
          <w:color w:val="auto"/>
          <w:sz w:val="24"/>
          <w:szCs w:val="24"/>
        </w:rPr>
      </w:pPr>
      <w:r>
        <w:rPr>
          <w:rFonts w:hint="eastAsia"/>
          <w:color w:val="auto"/>
          <w:sz w:val="24"/>
          <w:szCs w:val="24"/>
        </w:rPr>
        <w:t>（3）宣布开标人、唱标人、记录人等有关人员姓名；</w:t>
      </w:r>
    </w:p>
    <w:p>
      <w:pPr>
        <w:spacing w:line="360" w:lineRule="auto"/>
        <w:ind w:firstLine="480" w:firstLineChars="200"/>
        <w:rPr>
          <w:color w:val="auto"/>
          <w:sz w:val="24"/>
          <w:szCs w:val="24"/>
        </w:rPr>
      </w:pPr>
      <w:r>
        <w:rPr>
          <w:rFonts w:hint="eastAsia"/>
          <w:color w:val="auto"/>
          <w:sz w:val="24"/>
          <w:szCs w:val="24"/>
        </w:rPr>
        <w:t>（4）按照投标人须知前附表规定由投标人推选的代表检查投标文件的密封情况；</w:t>
      </w:r>
    </w:p>
    <w:p>
      <w:pPr>
        <w:spacing w:line="360" w:lineRule="auto"/>
        <w:ind w:firstLine="480" w:firstLineChars="200"/>
        <w:rPr>
          <w:color w:val="auto"/>
          <w:sz w:val="24"/>
          <w:szCs w:val="24"/>
        </w:rPr>
      </w:pPr>
      <w:r>
        <w:rPr>
          <w:rFonts w:hint="eastAsia"/>
          <w:color w:val="auto"/>
          <w:sz w:val="24"/>
          <w:szCs w:val="24"/>
        </w:rPr>
        <w:t>（5）按照投标人须知前附表规定的开标顺序当众开标，公布标段名称、投标人名称、投标保证金的递交情况、工期及其他内容，并记录在案；</w:t>
      </w:r>
    </w:p>
    <w:p>
      <w:pPr>
        <w:spacing w:line="360" w:lineRule="auto"/>
        <w:ind w:firstLine="480" w:firstLineChars="200"/>
        <w:rPr>
          <w:color w:val="auto"/>
          <w:sz w:val="24"/>
          <w:szCs w:val="24"/>
        </w:rPr>
      </w:pPr>
      <w:r>
        <w:rPr>
          <w:rFonts w:hint="eastAsia"/>
          <w:color w:val="auto"/>
          <w:sz w:val="24"/>
          <w:szCs w:val="24"/>
        </w:rPr>
        <w:t>（6）投标人代表、招标人代表、记录人等有关人员在开标记录上签字确认；</w:t>
      </w:r>
    </w:p>
    <w:p>
      <w:pPr>
        <w:spacing w:line="360" w:lineRule="auto"/>
        <w:ind w:firstLine="480" w:firstLineChars="200"/>
        <w:rPr>
          <w:color w:val="auto"/>
          <w:sz w:val="24"/>
          <w:szCs w:val="24"/>
        </w:rPr>
      </w:pPr>
      <w:r>
        <w:rPr>
          <w:rFonts w:hint="eastAsia"/>
          <w:color w:val="auto"/>
          <w:sz w:val="24"/>
          <w:szCs w:val="24"/>
        </w:rPr>
        <w:t>（7）开标结束。</w:t>
      </w:r>
    </w:p>
    <w:p>
      <w:pPr>
        <w:spacing w:line="360" w:lineRule="auto"/>
        <w:ind w:firstLine="480" w:firstLineChars="200"/>
        <w:rPr>
          <w:color w:val="auto"/>
          <w:sz w:val="24"/>
          <w:szCs w:val="24"/>
        </w:rPr>
      </w:pPr>
      <w:r>
        <w:rPr>
          <w:rFonts w:hint="eastAsia"/>
          <w:color w:val="auto"/>
          <w:sz w:val="24"/>
          <w:szCs w:val="24"/>
        </w:rPr>
        <w:t>5.2.2在投标文件第一个信封（商务及技术文件）开标现场，投标文件第二个信封（报价文件）不予开封，由招标人密封保存。</w:t>
      </w:r>
    </w:p>
    <w:p>
      <w:pPr>
        <w:spacing w:line="360" w:lineRule="auto"/>
        <w:ind w:firstLine="480" w:firstLineChars="200"/>
        <w:rPr>
          <w:color w:val="auto"/>
          <w:sz w:val="24"/>
          <w:szCs w:val="24"/>
        </w:rPr>
      </w:pPr>
      <w:r>
        <w:rPr>
          <w:rFonts w:hint="eastAsia"/>
          <w:color w:val="auto"/>
          <w:sz w:val="24"/>
          <w:szCs w:val="24"/>
        </w:rPr>
        <w:t>5.2.3招标人将按照本章第5.1款规定的时间和地点对投标文件第二个信封（报价文件）进行开标。主持人按下列程序进行开标：</w:t>
      </w:r>
    </w:p>
    <w:p>
      <w:pPr>
        <w:spacing w:line="360" w:lineRule="auto"/>
        <w:ind w:firstLine="480" w:firstLineChars="200"/>
        <w:rPr>
          <w:color w:val="auto"/>
          <w:sz w:val="24"/>
          <w:szCs w:val="24"/>
        </w:rPr>
      </w:pPr>
      <w:r>
        <w:rPr>
          <w:rFonts w:hint="eastAsia"/>
          <w:color w:val="auto"/>
          <w:sz w:val="24"/>
          <w:szCs w:val="24"/>
        </w:rPr>
        <w:t>（1）宣布开标纪律；</w:t>
      </w:r>
    </w:p>
    <w:p>
      <w:pPr>
        <w:spacing w:line="360" w:lineRule="auto"/>
        <w:ind w:firstLine="480" w:firstLineChars="200"/>
        <w:rPr>
          <w:color w:val="auto"/>
          <w:sz w:val="24"/>
          <w:szCs w:val="24"/>
        </w:rPr>
      </w:pPr>
      <w:r>
        <w:rPr>
          <w:rFonts w:hint="eastAsia"/>
          <w:color w:val="auto"/>
          <w:sz w:val="24"/>
          <w:szCs w:val="24"/>
        </w:rPr>
        <w:t>（2）当众拆开投标文件第一个信封（商务及技术文件）评审结果的密封袋，宣布通过投标文件第一个信封（商务及技术文件）评审的投标人名单；</w:t>
      </w:r>
    </w:p>
    <w:p>
      <w:pPr>
        <w:spacing w:line="360" w:lineRule="auto"/>
        <w:ind w:firstLine="480" w:firstLineChars="200"/>
        <w:rPr>
          <w:color w:val="auto"/>
          <w:sz w:val="24"/>
          <w:szCs w:val="24"/>
        </w:rPr>
      </w:pPr>
      <w:r>
        <w:rPr>
          <w:rFonts w:hint="eastAsia"/>
          <w:color w:val="auto"/>
          <w:sz w:val="24"/>
          <w:szCs w:val="24"/>
        </w:rPr>
        <w:t>（3）宣布开标人、唱标人、记录人等有关人员姓名；</w:t>
      </w:r>
    </w:p>
    <w:p>
      <w:pPr>
        <w:spacing w:line="360" w:lineRule="auto"/>
        <w:ind w:firstLine="480" w:firstLineChars="200"/>
        <w:rPr>
          <w:color w:val="auto"/>
          <w:sz w:val="24"/>
          <w:szCs w:val="24"/>
        </w:rPr>
      </w:pPr>
      <w:r>
        <w:rPr>
          <w:rFonts w:hint="eastAsia"/>
          <w:color w:val="auto"/>
          <w:sz w:val="24"/>
          <w:szCs w:val="24"/>
        </w:rPr>
        <w:t>（4）按照投标人须知前附表规定由投标人推选的代表检查投标文件的密封情况；</w:t>
      </w:r>
    </w:p>
    <w:p>
      <w:pPr>
        <w:spacing w:line="360" w:lineRule="auto"/>
        <w:ind w:firstLine="480" w:firstLineChars="200"/>
        <w:rPr>
          <w:color w:val="auto"/>
          <w:sz w:val="24"/>
          <w:szCs w:val="24"/>
        </w:rPr>
      </w:pPr>
      <w:r>
        <w:rPr>
          <w:rFonts w:hint="eastAsia"/>
          <w:color w:val="auto"/>
          <w:sz w:val="24"/>
          <w:szCs w:val="24"/>
        </w:rPr>
        <w:t>（5）按照投标人须知前附表规定的开标顺序当众开标，开标人只拆封通过投标文件第一个信封（商务及技术文件）评审的投标文件第二个信封（报价文件），公布标段名称、投标人名称、投标报价</w:t>
      </w:r>
      <w:r>
        <w:rPr>
          <w:rFonts w:hint="eastAsia"/>
          <w:color w:val="auto"/>
          <w:sz w:val="24"/>
          <w:szCs w:val="24"/>
          <w:lang w:eastAsia="zh-CN"/>
        </w:rPr>
        <w:t>（若投标函或调价函中的投标价大小写金额不一致，应以大写金额为准）</w:t>
      </w:r>
      <w:r>
        <w:rPr>
          <w:rFonts w:hint="eastAsia"/>
          <w:color w:val="auto"/>
          <w:sz w:val="24"/>
          <w:szCs w:val="24"/>
        </w:rPr>
        <w:t>及其他内容，并记录在案；</w:t>
      </w:r>
    </w:p>
    <w:p>
      <w:pPr>
        <w:spacing w:line="360" w:lineRule="auto"/>
        <w:ind w:firstLine="480" w:firstLineChars="200"/>
        <w:rPr>
          <w:rFonts w:hint="eastAsia"/>
          <w:color w:val="auto"/>
          <w:sz w:val="24"/>
          <w:szCs w:val="24"/>
        </w:rPr>
      </w:pPr>
      <w:r>
        <w:rPr>
          <w:rFonts w:hint="eastAsia"/>
          <w:color w:val="auto"/>
          <w:sz w:val="24"/>
          <w:szCs w:val="24"/>
        </w:rPr>
        <w:t>（6）计算并宣布评标基准价；</w:t>
      </w:r>
    </w:p>
    <w:p>
      <w:pPr>
        <w:spacing w:line="360" w:lineRule="auto"/>
        <w:ind w:firstLine="480" w:firstLineChars="200"/>
        <w:rPr>
          <w:color w:val="auto"/>
          <w:sz w:val="24"/>
          <w:szCs w:val="24"/>
        </w:rPr>
      </w:pPr>
      <w:r>
        <w:rPr>
          <w:rFonts w:hint="eastAsia"/>
          <w:color w:val="auto"/>
          <w:sz w:val="24"/>
          <w:szCs w:val="24"/>
        </w:rPr>
        <w:t>（7）将未通过投标文件第一个信封（商务及技术文件）评审的投标文件第二个信封（报价文件）退还给投标人；</w:t>
      </w:r>
    </w:p>
    <w:p>
      <w:pPr>
        <w:spacing w:line="360" w:lineRule="auto"/>
        <w:ind w:firstLine="480" w:firstLineChars="200"/>
        <w:rPr>
          <w:color w:val="auto"/>
          <w:sz w:val="24"/>
          <w:szCs w:val="24"/>
        </w:rPr>
      </w:pPr>
      <w:r>
        <w:rPr>
          <w:rFonts w:hint="eastAsia"/>
          <w:color w:val="auto"/>
          <w:sz w:val="24"/>
          <w:szCs w:val="24"/>
        </w:rPr>
        <w:t>（8）投标人代表、招标人代表、记录人等有关人员在开标记录上签字确认；</w:t>
      </w:r>
    </w:p>
    <w:p>
      <w:pPr>
        <w:spacing w:line="360" w:lineRule="auto"/>
        <w:ind w:firstLine="480" w:firstLineChars="200"/>
        <w:rPr>
          <w:rFonts w:hint="eastAsia"/>
          <w:color w:val="auto"/>
          <w:sz w:val="24"/>
          <w:szCs w:val="24"/>
        </w:rPr>
      </w:pPr>
      <w:r>
        <w:rPr>
          <w:rFonts w:hint="eastAsia"/>
          <w:color w:val="auto"/>
          <w:sz w:val="24"/>
          <w:szCs w:val="24"/>
        </w:rPr>
        <w:t>（9）开标结束。</w:t>
      </w:r>
    </w:p>
    <w:p>
      <w:pPr>
        <w:spacing w:line="360" w:lineRule="auto"/>
        <w:ind w:firstLine="480" w:firstLineChars="200"/>
        <w:rPr>
          <w:color w:val="auto"/>
        </w:rPr>
      </w:pPr>
      <w:r>
        <w:rPr>
          <w:rFonts w:hint="eastAsia"/>
          <w:color w:val="auto"/>
          <w:sz w:val="24"/>
          <w:szCs w:val="24"/>
        </w:rPr>
        <w:t>5.2.5在投标文件第一个信封（商务及技术文件）或第二个信封（报价文件）开标过程中，若招标人宣读的内容与投标文件不符，投标人有权在开标现场提出疑问，经招标人当场核查确认之后，可重新宣读其投标文件。若投标人现场未提出疑问，则认为投标人已确认招标人宣读的内容。</w:t>
      </w:r>
    </w:p>
    <w:p>
      <w:pPr>
        <w:spacing w:line="360" w:lineRule="auto"/>
        <w:rPr>
          <w:b/>
          <w:bCs/>
          <w:color w:val="auto"/>
          <w:sz w:val="24"/>
          <w:szCs w:val="24"/>
        </w:rPr>
      </w:pPr>
      <w:r>
        <w:rPr>
          <w:rFonts w:hint="eastAsia"/>
          <w:b/>
          <w:bCs/>
          <w:color w:val="auto"/>
          <w:sz w:val="24"/>
          <w:szCs w:val="24"/>
        </w:rPr>
        <w:t>5.3开标异议</w:t>
      </w:r>
    </w:p>
    <w:p>
      <w:pPr>
        <w:spacing w:line="360" w:lineRule="auto"/>
        <w:ind w:firstLine="480" w:firstLineChars="200"/>
        <w:rPr>
          <w:color w:val="auto"/>
        </w:rPr>
      </w:pPr>
      <w:r>
        <w:rPr>
          <w:rFonts w:hint="eastAsia"/>
          <w:color w:val="auto"/>
          <w:sz w:val="24"/>
          <w:szCs w:val="24"/>
        </w:rPr>
        <w:t>投标人对开标有异议的，应在开标现场提出，招标人当场作出答复，并制作记录，有异议的投标人代表、招标人代表、记录人等有关人员在记录上签字确认。</w:t>
      </w:r>
    </w:p>
    <w:p>
      <w:pPr>
        <w:spacing w:line="360" w:lineRule="auto"/>
        <w:rPr>
          <w:color w:val="auto"/>
        </w:rPr>
      </w:pPr>
      <w:r>
        <w:rPr>
          <w:rFonts w:hint="eastAsia"/>
          <w:b/>
          <w:bCs/>
          <w:color w:val="auto"/>
          <w:sz w:val="28"/>
          <w:szCs w:val="28"/>
        </w:rPr>
        <w:t>6.评标</w:t>
      </w:r>
    </w:p>
    <w:p>
      <w:pPr>
        <w:spacing w:line="360" w:lineRule="auto"/>
        <w:rPr>
          <w:b/>
          <w:bCs/>
          <w:color w:val="auto"/>
          <w:sz w:val="24"/>
          <w:szCs w:val="24"/>
        </w:rPr>
      </w:pPr>
      <w:r>
        <w:rPr>
          <w:rFonts w:hint="eastAsia"/>
          <w:b/>
          <w:bCs/>
          <w:color w:val="auto"/>
          <w:sz w:val="24"/>
          <w:szCs w:val="24"/>
        </w:rPr>
        <w:t>6.1评标委员会</w:t>
      </w:r>
    </w:p>
    <w:p>
      <w:pPr>
        <w:spacing w:line="360" w:lineRule="auto"/>
        <w:ind w:firstLine="480" w:firstLineChars="200"/>
        <w:rPr>
          <w:color w:val="auto"/>
          <w:sz w:val="24"/>
          <w:szCs w:val="24"/>
        </w:rPr>
      </w:pPr>
      <w:r>
        <w:rPr>
          <w:rFonts w:hint="eastAsia"/>
          <w:color w:val="auto"/>
          <w:sz w:val="24"/>
          <w:szCs w:val="24"/>
        </w:rPr>
        <w:t>6.1.1评标由招标人依法组建的评标委员会负责。评标委员会由有关方面的专家组成。评标委员会成员人数等方面专家的确定方式见投标人须知前附表。</w:t>
      </w:r>
    </w:p>
    <w:p>
      <w:pPr>
        <w:spacing w:line="360" w:lineRule="auto"/>
        <w:ind w:firstLine="480" w:firstLineChars="200"/>
        <w:rPr>
          <w:color w:val="auto"/>
          <w:sz w:val="24"/>
          <w:szCs w:val="24"/>
        </w:rPr>
      </w:pPr>
      <w:r>
        <w:rPr>
          <w:rFonts w:hint="eastAsia"/>
          <w:color w:val="auto"/>
          <w:sz w:val="24"/>
          <w:szCs w:val="24"/>
        </w:rPr>
        <w:t>6.1.2评标委员会成员有下列情形之一的，应主动提出回避：</w:t>
      </w:r>
    </w:p>
    <w:p>
      <w:pPr>
        <w:spacing w:line="360" w:lineRule="auto"/>
        <w:ind w:firstLine="480" w:firstLineChars="200"/>
        <w:rPr>
          <w:color w:val="auto"/>
          <w:sz w:val="24"/>
          <w:szCs w:val="24"/>
        </w:rPr>
      </w:pPr>
      <w:r>
        <w:rPr>
          <w:rFonts w:hint="eastAsia"/>
          <w:color w:val="auto"/>
          <w:sz w:val="24"/>
          <w:szCs w:val="24"/>
        </w:rPr>
        <w:t>（1）为负责招标项目监督管理的交通运输主管部门的工作人员；</w:t>
      </w:r>
    </w:p>
    <w:p>
      <w:pPr>
        <w:spacing w:line="360" w:lineRule="auto"/>
        <w:ind w:firstLine="480" w:firstLineChars="200"/>
        <w:rPr>
          <w:color w:val="auto"/>
          <w:sz w:val="24"/>
          <w:szCs w:val="24"/>
        </w:rPr>
      </w:pPr>
      <w:r>
        <w:rPr>
          <w:rFonts w:hint="eastAsia"/>
          <w:color w:val="auto"/>
          <w:sz w:val="24"/>
          <w:szCs w:val="24"/>
        </w:rPr>
        <w:t>（2）与投标人法定代表人或其委托代理人有近亲属关系；</w:t>
      </w:r>
    </w:p>
    <w:p>
      <w:pPr>
        <w:spacing w:line="360" w:lineRule="auto"/>
        <w:ind w:firstLine="480" w:firstLineChars="200"/>
        <w:rPr>
          <w:color w:val="auto"/>
          <w:sz w:val="24"/>
          <w:szCs w:val="24"/>
        </w:rPr>
      </w:pPr>
      <w:r>
        <w:rPr>
          <w:rFonts w:hint="eastAsia"/>
          <w:color w:val="auto"/>
          <w:sz w:val="24"/>
          <w:szCs w:val="24"/>
        </w:rPr>
        <w:t>（3）为投标人的工作人员或退休人员；</w:t>
      </w:r>
    </w:p>
    <w:p>
      <w:pPr>
        <w:spacing w:line="360" w:lineRule="auto"/>
        <w:ind w:firstLine="480" w:firstLineChars="200"/>
        <w:rPr>
          <w:color w:val="auto"/>
          <w:sz w:val="24"/>
          <w:szCs w:val="24"/>
        </w:rPr>
      </w:pPr>
      <w:r>
        <w:rPr>
          <w:rFonts w:hint="eastAsia"/>
          <w:color w:val="auto"/>
          <w:sz w:val="24"/>
          <w:szCs w:val="24"/>
        </w:rPr>
        <w:t>（4）与投标人有其他利害关系，可能影响评标活动公正性；</w:t>
      </w:r>
    </w:p>
    <w:p>
      <w:pPr>
        <w:spacing w:line="360" w:lineRule="auto"/>
        <w:ind w:firstLine="480" w:firstLineChars="200"/>
        <w:rPr>
          <w:color w:val="auto"/>
          <w:sz w:val="24"/>
          <w:szCs w:val="24"/>
        </w:rPr>
      </w:pPr>
      <w:r>
        <w:rPr>
          <w:rFonts w:hint="eastAsia"/>
          <w:color w:val="auto"/>
          <w:sz w:val="24"/>
          <w:szCs w:val="24"/>
        </w:rPr>
        <w:t>（5）在与招标投标有关的活动中有过违法违规行为、曾受过行政处罚或刑事处罚。</w:t>
      </w:r>
    </w:p>
    <w:p>
      <w:pPr>
        <w:spacing w:line="360" w:lineRule="auto"/>
        <w:ind w:firstLine="480" w:firstLineChars="200"/>
        <w:rPr>
          <w:color w:val="auto"/>
          <w:sz w:val="24"/>
          <w:szCs w:val="24"/>
        </w:rPr>
      </w:pPr>
      <w:r>
        <w:rPr>
          <w:rFonts w:hint="eastAsia"/>
          <w:color w:val="auto"/>
          <w:sz w:val="24"/>
          <w:szCs w:val="24"/>
        </w:rPr>
        <w:t>6.1.3评标过程中，评标委员会成员有回避事由、擅离职守或因健康等原因不能继续评标的，招标人有权更换。被更换的评标委员会成员作出的评审结论无效，由更换后的评标委员会成员重新进行评审。</w:t>
      </w:r>
    </w:p>
    <w:p>
      <w:pPr>
        <w:spacing w:line="360" w:lineRule="auto"/>
        <w:rPr>
          <w:b/>
          <w:bCs/>
          <w:color w:val="auto"/>
          <w:sz w:val="24"/>
          <w:szCs w:val="24"/>
        </w:rPr>
      </w:pPr>
      <w:r>
        <w:rPr>
          <w:rFonts w:hint="eastAsia"/>
          <w:b/>
          <w:bCs/>
          <w:color w:val="auto"/>
          <w:sz w:val="24"/>
          <w:szCs w:val="24"/>
        </w:rPr>
        <w:t>6.2评标原则</w:t>
      </w:r>
    </w:p>
    <w:p>
      <w:pPr>
        <w:spacing w:line="360" w:lineRule="auto"/>
        <w:ind w:firstLine="480" w:firstLineChars="200"/>
        <w:rPr>
          <w:color w:val="auto"/>
          <w:sz w:val="24"/>
          <w:szCs w:val="24"/>
        </w:rPr>
      </w:pPr>
      <w:r>
        <w:rPr>
          <w:rFonts w:hint="eastAsia"/>
          <w:color w:val="auto"/>
          <w:sz w:val="24"/>
          <w:szCs w:val="24"/>
        </w:rPr>
        <w:t>评标活动遵循公平、公正、科学和择优的原则。</w:t>
      </w:r>
    </w:p>
    <w:p>
      <w:pPr>
        <w:spacing w:line="360" w:lineRule="auto"/>
        <w:rPr>
          <w:b/>
          <w:bCs/>
          <w:color w:val="auto"/>
          <w:sz w:val="24"/>
          <w:szCs w:val="24"/>
        </w:rPr>
      </w:pPr>
      <w:r>
        <w:rPr>
          <w:rFonts w:hint="eastAsia"/>
          <w:b/>
          <w:bCs/>
          <w:color w:val="auto"/>
          <w:sz w:val="24"/>
          <w:szCs w:val="24"/>
        </w:rPr>
        <w:t>6.3评标</w:t>
      </w:r>
    </w:p>
    <w:p>
      <w:pPr>
        <w:spacing w:line="360" w:lineRule="auto"/>
        <w:ind w:firstLine="480" w:firstLineChars="200"/>
        <w:rPr>
          <w:color w:val="auto"/>
          <w:sz w:val="24"/>
          <w:szCs w:val="24"/>
        </w:rPr>
      </w:pPr>
      <w:r>
        <w:rPr>
          <w:rFonts w:hint="eastAsia"/>
          <w:color w:val="auto"/>
          <w:sz w:val="24"/>
          <w:szCs w:val="24"/>
        </w:rPr>
        <w:t>6.3.1评标委员会按照第三章“评标办法”规定的方法、评审因素、标准和程序对投标文件进行评审。第三章“评标办法”没有规定的方法、评审因素和标准，不作为评标依据。</w:t>
      </w:r>
    </w:p>
    <w:p>
      <w:pPr>
        <w:spacing w:line="360" w:lineRule="auto"/>
        <w:ind w:firstLine="480" w:firstLineChars="200"/>
        <w:rPr>
          <w:rFonts w:hint="eastAsia"/>
          <w:color w:val="auto"/>
          <w:lang w:val="en-US" w:eastAsia="zh-CN"/>
        </w:rPr>
      </w:pPr>
      <w:r>
        <w:rPr>
          <w:rFonts w:hint="eastAsia"/>
          <w:color w:val="auto"/>
          <w:sz w:val="24"/>
          <w:szCs w:val="24"/>
        </w:rPr>
        <w:t>6.3.2评标完成后，评标委员会应向招标人提交书面评标报告和中标候选人名单。评标委员会推荐中标候选人的人数见投标人须知前附表。</w:t>
      </w:r>
      <w:r>
        <w:rPr>
          <w:rFonts w:hint="eastAsia"/>
          <w:color w:val="auto"/>
          <w:sz w:val="24"/>
          <w:szCs w:val="24"/>
          <w:lang w:val="en-US" w:eastAsia="zh-CN"/>
        </w:rPr>
        <w:t>.</w:t>
      </w:r>
    </w:p>
    <w:p>
      <w:pPr>
        <w:spacing w:line="360" w:lineRule="auto"/>
        <w:rPr>
          <w:color w:val="auto"/>
        </w:rPr>
      </w:pPr>
      <w:r>
        <w:rPr>
          <w:rFonts w:hint="eastAsia"/>
          <w:b/>
          <w:bCs/>
          <w:color w:val="auto"/>
          <w:sz w:val="28"/>
          <w:szCs w:val="28"/>
        </w:rPr>
        <w:t>7.合同授予</w:t>
      </w:r>
    </w:p>
    <w:p>
      <w:pPr>
        <w:spacing w:line="360" w:lineRule="auto"/>
        <w:rPr>
          <w:b/>
          <w:bCs/>
          <w:color w:val="auto"/>
          <w:sz w:val="24"/>
          <w:szCs w:val="24"/>
        </w:rPr>
      </w:pPr>
      <w:r>
        <w:rPr>
          <w:rFonts w:hint="eastAsia"/>
          <w:b/>
          <w:bCs/>
          <w:color w:val="auto"/>
          <w:sz w:val="24"/>
          <w:szCs w:val="24"/>
        </w:rPr>
        <w:t>7.1中标候选人公示</w:t>
      </w:r>
    </w:p>
    <w:p>
      <w:pPr>
        <w:spacing w:line="360" w:lineRule="auto"/>
        <w:ind w:firstLine="480" w:firstLineChars="200"/>
        <w:rPr>
          <w:color w:val="auto"/>
          <w:sz w:val="24"/>
          <w:szCs w:val="24"/>
        </w:rPr>
      </w:pPr>
      <w:r>
        <w:rPr>
          <w:rFonts w:hint="eastAsia"/>
          <w:color w:val="auto"/>
          <w:sz w:val="24"/>
          <w:szCs w:val="24"/>
        </w:rPr>
        <w:t>招标人在收到评标报告之日起3日内，按照投标人须知前附表规定的公示媒介和期限公示中标候选人，公示期不得少于3日，公示内容包括：</w:t>
      </w:r>
    </w:p>
    <w:p>
      <w:pPr>
        <w:spacing w:line="360" w:lineRule="auto"/>
        <w:ind w:firstLine="480" w:firstLineChars="200"/>
        <w:rPr>
          <w:color w:val="auto"/>
          <w:sz w:val="24"/>
          <w:szCs w:val="24"/>
        </w:rPr>
      </w:pPr>
      <w:r>
        <w:rPr>
          <w:rFonts w:hint="eastAsia"/>
          <w:color w:val="auto"/>
          <w:sz w:val="24"/>
          <w:szCs w:val="24"/>
        </w:rPr>
        <w:t>（1）中标候选人排序、名称、投标报价，对工程质量要求和工期的响应情况；</w:t>
      </w:r>
    </w:p>
    <w:p>
      <w:pPr>
        <w:spacing w:line="360" w:lineRule="auto"/>
        <w:ind w:firstLine="480" w:firstLineChars="200"/>
        <w:rPr>
          <w:color w:val="auto"/>
          <w:sz w:val="24"/>
          <w:szCs w:val="24"/>
        </w:rPr>
      </w:pPr>
      <w:r>
        <w:rPr>
          <w:rFonts w:hint="eastAsia"/>
          <w:color w:val="auto"/>
          <w:sz w:val="24"/>
          <w:szCs w:val="24"/>
        </w:rPr>
        <w:t>（2）中标候选人在投标文件中承诺的项目经理姓名、相关证书名称和编号；</w:t>
      </w:r>
    </w:p>
    <w:p>
      <w:pPr>
        <w:spacing w:line="360" w:lineRule="auto"/>
        <w:ind w:firstLine="480" w:firstLineChars="200"/>
        <w:rPr>
          <w:color w:val="auto"/>
          <w:sz w:val="24"/>
          <w:szCs w:val="24"/>
        </w:rPr>
      </w:pPr>
      <w:r>
        <w:rPr>
          <w:rFonts w:hint="eastAsia"/>
          <w:color w:val="auto"/>
          <w:sz w:val="24"/>
          <w:szCs w:val="24"/>
        </w:rPr>
        <w:t>（3）中标候选人在投标文件中填报的项目业绩；</w:t>
      </w:r>
    </w:p>
    <w:p>
      <w:pPr>
        <w:spacing w:line="360" w:lineRule="auto"/>
        <w:ind w:firstLine="480" w:firstLineChars="200"/>
        <w:rPr>
          <w:color w:val="auto"/>
          <w:sz w:val="24"/>
          <w:szCs w:val="24"/>
        </w:rPr>
      </w:pPr>
      <w:r>
        <w:rPr>
          <w:rFonts w:hint="eastAsia"/>
          <w:color w:val="auto"/>
          <w:sz w:val="24"/>
          <w:szCs w:val="24"/>
        </w:rPr>
        <w:t>（4）被否决投标的投标人名称、否决依据和原因；</w:t>
      </w:r>
    </w:p>
    <w:p>
      <w:pPr>
        <w:spacing w:line="360" w:lineRule="auto"/>
        <w:ind w:firstLine="480" w:firstLineChars="200"/>
        <w:rPr>
          <w:color w:val="auto"/>
          <w:sz w:val="24"/>
          <w:szCs w:val="24"/>
        </w:rPr>
      </w:pPr>
      <w:r>
        <w:rPr>
          <w:rFonts w:hint="eastAsia"/>
          <w:color w:val="auto"/>
          <w:sz w:val="24"/>
          <w:szCs w:val="24"/>
        </w:rPr>
        <w:t>（5）提出异议的渠道和方式；</w:t>
      </w:r>
    </w:p>
    <w:p>
      <w:pPr>
        <w:spacing w:line="360" w:lineRule="auto"/>
        <w:ind w:firstLine="480" w:firstLineChars="200"/>
        <w:rPr>
          <w:color w:val="auto"/>
          <w:sz w:val="24"/>
          <w:szCs w:val="24"/>
        </w:rPr>
      </w:pPr>
      <w:r>
        <w:rPr>
          <w:rFonts w:hint="eastAsia"/>
          <w:color w:val="auto"/>
          <w:sz w:val="24"/>
          <w:szCs w:val="24"/>
        </w:rPr>
        <w:t>（6）投标人须知前附表规定公示的其他内容。</w:t>
      </w:r>
    </w:p>
    <w:p>
      <w:pPr>
        <w:spacing w:line="360" w:lineRule="auto"/>
        <w:rPr>
          <w:b/>
          <w:bCs/>
          <w:color w:val="auto"/>
          <w:sz w:val="24"/>
          <w:szCs w:val="24"/>
        </w:rPr>
      </w:pPr>
      <w:r>
        <w:rPr>
          <w:rFonts w:hint="eastAsia"/>
          <w:b/>
          <w:bCs/>
          <w:color w:val="auto"/>
          <w:sz w:val="24"/>
          <w:szCs w:val="24"/>
        </w:rPr>
        <w:t>7.2评标结果异议</w:t>
      </w:r>
    </w:p>
    <w:p>
      <w:pPr>
        <w:spacing w:line="360" w:lineRule="auto"/>
        <w:ind w:firstLine="480" w:firstLineChars="200"/>
        <w:rPr>
          <w:color w:val="auto"/>
          <w:sz w:val="24"/>
          <w:szCs w:val="24"/>
        </w:rPr>
      </w:pPr>
      <w:r>
        <w:rPr>
          <w:rFonts w:hint="eastAsia"/>
          <w:color w:val="auto"/>
          <w:sz w:val="24"/>
          <w:szCs w:val="24"/>
        </w:rPr>
        <w:t>投标人或其他利害关系人对依法必须进行招标的项目的评标结果有异议的，应在中标候选人公示期间提出。招标人将在收到异议之日起3日内作出答复；作出答复前，将暂停招标投标活动。</w:t>
      </w:r>
    </w:p>
    <w:p>
      <w:pPr>
        <w:spacing w:line="360" w:lineRule="auto"/>
        <w:rPr>
          <w:b/>
          <w:bCs/>
          <w:color w:val="auto"/>
          <w:sz w:val="24"/>
          <w:szCs w:val="24"/>
        </w:rPr>
      </w:pPr>
      <w:r>
        <w:rPr>
          <w:rFonts w:hint="eastAsia"/>
          <w:b/>
          <w:bCs/>
          <w:color w:val="auto"/>
          <w:sz w:val="24"/>
          <w:szCs w:val="24"/>
        </w:rPr>
        <w:t>7.3中标候选人履约能力审查</w:t>
      </w:r>
    </w:p>
    <w:p>
      <w:pPr>
        <w:spacing w:line="360" w:lineRule="auto"/>
        <w:ind w:firstLine="480" w:firstLineChars="200"/>
        <w:rPr>
          <w:color w:val="auto"/>
          <w:sz w:val="24"/>
          <w:szCs w:val="24"/>
        </w:rPr>
      </w:pPr>
      <w:r>
        <w:rPr>
          <w:rFonts w:hint="eastAsia"/>
          <w:color w:val="auto"/>
          <w:sz w:val="24"/>
          <w:szCs w:val="24"/>
        </w:rPr>
        <w:t>中标候选人的经营、财务状况发生较大变化或存在违法行为，招标人认为可能影响其履约能力的，将在发出中标通知书前提请原评标委员会按照招标文件规定的标准和方法进行审查确认。</w:t>
      </w:r>
    </w:p>
    <w:p>
      <w:pPr>
        <w:spacing w:line="360" w:lineRule="auto"/>
        <w:rPr>
          <w:b/>
          <w:bCs/>
          <w:color w:val="auto"/>
          <w:sz w:val="24"/>
          <w:szCs w:val="24"/>
        </w:rPr>
      </w:pPr>
      <w:r>
        <w:rPr>
          <w:rFonts w:hint="eastAsia"/>
          <w:b/>
          <w:bCs/>
          <w:color w:val="auto"/>
          <w:sz w:val="24"/>
          <w:szCs w:val="24"/>
        </w:rPr>
        <w:t>7.4定标</w:t>
      </w:r>
    </w:p>
    <w:p>
      <w:pPr>
        <w:spacing w:line="360" w:lineRule="auto"/>
        <w:ind w:firstLine="480" w:firstLineChars="200"/>
        <w:rPr>
          <w:color w:val="auto"/>
          <w:sz w:val="24"/>
          <w:szCs w:val="24"/>
        </w:rPr>
      </w:pPr>
      <w:r>
        <w:rPr>
          <w:rFonts w:hint="eastAsia"/>
          <w:color w:val="auto"/>
          <w:sz w:val="24"/>
          <w:szCs w:val="24"/>
        </w:rPr>
        <w:t>按照投标人须知前附表的规定，招标人或招标人授权的评标委员会依法确定中标人。</w:t>
      </w:r>
    </w:p>
    <w:p>
      <w:pPr>
        <w:spacing w:line="360" w:lineRule="auto"/>
        <w:rPr>
          <w:b/>
          <w:bCs/>
          <w:color w:val="auto"/>
          <w:sz w:val="24"/>
          <w:szCs w:val="24"/>
        </w:rPr>
      </w:pPr>
      <w:r>
        <w:rPr>
          <w:rFonts w:hint="eastAsia"/>
          <w:b/>
          <w:bCs/>
          <w:color w:val="auto"/>
          <w:sz w:val="24"/>
          <w:szCs w:val="24"/>
        </w:rPr>
        <w:t>7.5中标通知</w:t>
      </w:r>
    </w:p>
    <w:p>
      <w:pPr>
        <w:spacing w:line="360" w:lineRule="auto"/>
        <w:ind w:firstLine="480" w:firstLineChars="200"/>
        <w:rPr>
          <w:color w:val="auto"/>
          <w:sz w:val="24"/>
          <w:szCs w:val="24"/>
        </w:rPr>
      </w:pPr>
      <w:r>
        <w:rPr>
          <w:rFonts w:hint="eastAsia"/>
          <w:color w:val="auto"/>
          <w:sz w:val="24"/>
          <w:szCs w:val="24"/>
        </w:rPr>
        <w:t>在本章第3.3款规定的投标有效期内，招标人以投标人须知前附表规定的形式向中标人发出中标通知书，同时将中标结果通知未中标的投标人。</w:t>
      </w:r>
    </w:p>
    <w:p>
      <w:pPr>
        <w:spacing w:line="360" w:lineRule="auto"/>
        <w:rPr>
          <w:b/>
          <w:bCs/>
          <w:color w:val="auto"/>
          <w:sz w:val="24"/>
          <w:szCs w:val="24"/>
        </w:rPr>
      </w:pPr>
      <w:r>
        <w:rPr>
          <w:rFonts w:hint="eastAsia"/>
          <w:b/>
          <w:bCs/>
          <w:color w:val="auto"/>
          <w:sz w:val="24"/>
          <w:szCs w:val="24"/>
        </w:rPr>
        <w:t>7.6中标结果公告</w:t>
      </w:r>
    </w:p>
    <w:p>
      <w:pPr>
        <w:spacing w:line="360" w:lineRule="auto"/>
        <w:ind w:firstLine="480" w:firstLineChars="200"/>
        <w:rPr>
          <w:color w:val="auto"/>
          <w:sz w:val="24"/>
          <w:szCs w:val="24"/>
        </w:rPr>
      </w:pPr>
      <w:r>
        <w:rPr>
          <w:rFonts w:hint="eastAsia"/>
          <w:color w:val="auto"/>
          <w:sz w:val="24"/>
          <w:szCs w:val="24"/>
        </w:rPr>
        <w:t>招标人在确定中标人之日起3日内，按照投标人须知前附表规定的公告媒介和期限公告中标结果，公告期不得少于3日。公告内容包括中标人名称、中标价。</w:t>
      </w:r>
    </w:p>
    <w:p>
      <w:pPr>
        <w:spacing w:line="360" w:lineRule="auto"/>
        <w:rPr>
          <w:b/>
          <w:bCs/>
          <w:color w:val="auto"/>
          <w:sz w:val="24"/>
          <w:szCs w:val="24"/>
        </w:rPr>
      </w:pPr>
      <w:r>
        <w:rPr>
          <w:rFonts w:hint="eastAsia"/>
          <w:b/>
          <w:bCs/>
          <w:color w:val="auto"/>
          <w:sz w:val="24"/>
          <w:szCs w:val="24"/>
        </w:rPr>
        <w:t>7.7履约保证金</w:t>
      </w:r>
    </w:p>
    <w:p>
      <w:pPr>
        <w:spacing w:line="360" w:lineRule="auto"/>
        <w:ind w:firstLine="480" w:firstLineChars="200"/>
        <w:rPr>
          <w:color w:val="auto"/>
          <w:sz w:val="24"/>
          <w:szCs w:val="24"/>
        </w:rPr>
      </w:pPr>
      <w:r>
        <w:rPr>
          <w:rFonts w:hint="eastAsia"/>
          <w:color w:val="auto"/>
          <w:sz w:val="24"/>
          <w:szCs w:val="24"/>
        </w:rPr>
        <w:t>7.7.1在签订合同前，中标人应按投标人须知前附表规定的形式、金额和招标文件第四章“合同条款及格式”规定的或事先经过招标人书面认可的履约保证金格式向招标人提交履约保证金。除投标人须知前附表另有规定外，履约保证金为签约合同价的10%。采用银行保函</w:t>
      </w:r>
      <w:r>
        <w:rPr>
          <w:rFonts w:hint="eastAsia"/>
          <w:color w:val="auto"/>
          <w:sz w:val="24"/>
          <w:szCs w:val="24"/>
          <w:lang w:eastAsia="zh-CN"/>
        </w:rPr>
        <w:t>或担保公司保函</w:t>
      </w:r>
      <w:r>
        <w:rPr>
          <w:rFonts w:hint="eastAsia"/>
          <w:color w:val="auto"/>
          <w:sz w:val="24"/>
          <w:szCs w:val="24"/>
        </w:rPr>
        <w:t>时，</w:t>
      </w:r>
      <w:r>
        <w:rPr>
          <w:rFonts w:hint="eastAsia"/>
          <w:color w:val="auto"/>
          <w:sz w:val="24"/>
          <w:szCs w:val="24"/>
          <w:lang w:eastAsia="zh-CN"/>
        </w:rPr>
        <w:t>开具保函的单位</w:t>
      </w:r>
      <w:r>
        <w:rPr>
          <w:rFonts w:hint="eastAsia"/>
          <w:color w:val="auto"/>
          <w:sz w:val="24"/>
          <w:szCs w:val="24"/>
        </w:rPr>
        <w:t>应</w:t>
      </w:r>
      <w:r>
        <w:rPr>
          <w:rFonts w:hint="eastAsia"/>
          <w:color w:val="auto"/>
          <w:sz w:val="24"/>
          <w:szCs w:val="24"/>
          <w:lang w:eastAsia="zh-CN"/>
        </w:rPr>
        <w:t>通过招标人审核</w:t>
      </w:r>
      <w:r>
        <w:rPr>
          <w:rFonts w:hint="eastAsia"/>
          <w:color w:val="auto"/>
          <w:sz w:val="24"/>
          <w:szCs w:val="24"/>
        </w:rPr>
        <w:t>，所需的费用由中标人承担，中标人应保证银行保函有效。</w:t>
      </w:r>
    </w:p>
    <w:p>
      <w:pPr>
        <w:spacing w:line="360" w:lineRule="auto"/>
        <w:rPr>
          <w:b/>
          <w:bCs/>
          <w:color w:val="auto"/>
          <w:sz w:val="24"/>
          <w:szCs w:val="24"/>
        </w:rPr>
      </w:pPr>
      <w:r>
        <w:rPr>
          <w:rFonts w:hint="eastAsia"/>
          <w:b/>
          <w:bCs/>
          <w:color w:val="auto"/>
          <w:sz w:val="24"/>
          <w:szCs w:val="24"/>
        </w:rPr>
        <w:t>7.8签订合同</w:t>
      </w:r>
    </w:p>
    <w:p>
      <w:pPr>
        <w:spacing w:line="360" w:lineRule="auto"/>
        <w:ind w:firstLine="480" w:firstLineChars="200"/>
        <w:rPr>
          <w:color w:val="auto"/>
          <w:sz w:val="24"/>
          <w:szCs w:val="24"/>
        </w:rPr>
      </w:pPr>
      <w:r>
        <w:rPr>
          <w:rFonts w:hint="eastAsia"/>
          <w:color w:val="auto"/>
          <w:sz w:val="24"/>
          <w:szCs w:val="24"/>
        </w:rPr>
        <w:t>7.8.1招标人和中标人应在中标通知书发出之日起30日内，根据招标文件和中标人的投标文件订立书面合同。中标人无正当理由拒签合同，在签订合同时向招标人提出附加条件，或不按照招标文件要求提交履约保证金的，招标人</w:t>
      </w:r>
      <w:r>
        <w:rPr>
          <w:rFonts w:hint="eastAsia"/>
          <w:color w:val="auto"/>
          <w:sz w:val="24"/>
          <w:szCs w:val="24"/>
          <w:lang w:eastAsia="zh-CN"/>
        </w:rPr>
        <w:t>取消</w:t>
      </w:r>
      <w:r>
        <w:rPr>
          <w:rFonts w:hint="eastAsia"/>
          <w:color w:val="auto"/>
          <w:sz w:val="24"/>
          <w:szCs w:val="24"/>
        </w:rPr>
        <w:t>其中标资格，其投标保证金不予退还；给招标人造成的损失超过投标保证金数额的，中标人还应对超过部分予以赔偿。</w:t>
      </w:r>
    </w:p>
    <w:p>
      <w:pPr>
        <w:spacing w:line="360" w:lineRule="auto"/>
        <w:ind w:firstLine="480" w:firstLineChars="200"/>
        <w:rPr>
          <w:color w:val="auto"/>
          <w:sz w:val="24"/>
          <w:szCs w:val="24"/>
        </w:rPr>
      </w:pPr>
      <w:r>
        <w:rPr>
          <w:rFonts w:hint="eastAsia"/>
          <w:color w:val="auto"/>
          <w:sz w:val="24"/>
          <w:szCs w:val="24"/>
        </w:rPr>
        <w:t>7.8.2发出中标通知书后，招标人无正当理由拒签合同，或在签订合同时向中标人提出附加条件的，招标人向中标人退还投标保证金；给中标人造成损失的，还应赔偿损失。</w:t>
      </w:r>
    </w:p>
    <w:p>
      <w:pPr>
        <w:spacing w:line="360" w:lineRule="auto"/>
        <w:ind w:firstLine="480" w:firstLineChars="200"/>
        <w:rPr>
          <w:color w:val="auto"/>
          <w:sz w:val="24"/>
          <w:szCs w:val="24"/>
        </w:rPr>
      </w:pPr>
      <w:r>
        <w:rPr>
          <w:rFonts w:hint="eastAsia"/>
          <w:color w:val="auto"/>
          <w:sz w:val="24"/>
          <w:szCs w:val="24"/>
        </w:rPr>
        <w:t>7.8.3签约合同价的确定原则如下：</w:t>
      </w:r>
    </w:p>
    <w:p>
      <w:pPr>
        <w:spacing w:line="360" w:lineRule="auto"/>
        <w:ind w:firstLine="480" w:firstLineChars="200"/>
        <w:rPr>
          <w:color w:val="auto"/>
          <w:sz w:val="24"/>
          <w:szCs w:val="24"/>
        </w:rPr>
      </w:pPr>
      <w:r>
        <w:rPr>
          <w:rFonts w:hint="eastAsia"/>
          <w:color w:val="auto"/>
          <w:sz w:val="24"/>
          <w:szCs w:val="24"/>
        </w:rPr>
        <w:t>（1）按照评标办法规定对投标报价进行修正后，若修正后的最终投标报价小于开标时的投标函大写金额报价，则签订合同时以修正后的最终投标报价为准；</w:t>
      </w:r>
    </w:p>
    <w:p>
      <w:pPr>
        <w:spacing w:line="360" w:lineRule="auto"/>
        <w:ind w:firstLine="480" w:firstLineChars="200"/>
        <w:rPr>
          <w:color w:val="auto"/>
          <w:sz w:val="24"/>
          <w:szCs w:val="24"/>
        </w:rPr>
      </w:pPr>
      <w:r>
        <w:rPr>
          <w:rFonts w:hint="eastAsia"/>
          <w:color w:val="auto"/>
          <w:sz w:val="24"/>
          <w:szCs w:val="24"/>
        </w:rPr>
        <w:t>（2）按照评标办法规定对投标报价进行修正后，若修正后的最终投标报价大于开标时的投标函大写金额报价，则签订合同时以开标时的投标函大写金额报价为准，同时按比例修正相应子目的单价或合价。</w:t>
      </w:r>
    </w:p>
    <w:p>
      <w:pPr>
        <w:spacing w:line="360" w:lineRule="auto"/>
        <w:ind w:firstLine="480" w:firstLineChars="200"/>
        <w:rPr>
          <w:color w:val="auto"/>
          <w:sz w:val="24"/>
          <w:szCs w:val="24"/>
        </w:rPr>
      </w:pPr>
      <w:r>
        <w:rPr>
          <w:rFonts w:hint="eastAsia"/>
          <w:color w:val="auto"/>
          <w:sz w:val="24"/>
          <w:szCs w:val="24"/>
        </w:rPr>
        <w:t>7.8.4联合体中标的，联合体各方应共同与招标人签订合同，就中标项目向招标人承担连带责任。</w:t>
      </w:r>
    </w:p>
    <w:p>
      <w:pPr>
        <w:spacing w:line="360" w:lineRule="auto"/>
        <w:ind w:firstLine="480" w:firstLineChars="200"/>
        <w:rPr>
          <w:color w:val="auto"/>
          <w:sz w:val="24"/>
          <w:szCs w:val="24"/>
        </w:rPr>
      </w:pPr>
      <w:r>
        <w:rPr>
          <w:rFonts w:hint="eastAsia"/>
          <w:color w:val="auto"/>
          <w:sz w:val="24"/>
          <w:szCs w:val="24"/>
        </w:rPr>
        <w:t>7.8.5招标人和中标人在签订合同协议书的同时，须按照本招标文件规定的格式和要求签订廉政合同及安全生产合同，明确双方在廉政建设和安全生产方面的权利和义务以及应承担的违约责任。</w:t>
      </w:r>
    </w:p>
    <w:p>
      <w:pPr>
        <w:spacing w:line="360" w:lineRule="auto"/>
        <w:rPr>
          <w:b/>
          <w:bCs/>
          <w:color w:val="auto"/>
          <w:sz w:val="24"/>
          <w:szCs w:val="24"/>
        </w:rPr>
      </w:pPr>
      <w:r>
        <w:rPr>
          <w:rFonts w:hint="eastAsia"/>
          <w:b/>
          <w:bCs/>
          <w:color w:val="auto"/>
          <w:sz w:val="24"/>
          <w:szCs w:val="24"/>
        </w:rPr>
        <w:t>8.纪律和监督</w:t>
      </w:r>
    </w:p>
    <w:p>
      <w:pPr>
        <w:spacing w:line="360" w:lineRule="auto"/>
        <w:ind w:firstLine="480" w:firstLineChars="200"/>
        <w:rPr>
          <w:color w:val="auto"/>
          <w:sz w:val="24"/>
          <w:szCs w:val="24"/>
        </w:rPr>
      </w:pPr>
      <w:r>
        <w:rPr>
          <w:rFonts w:hint="eastAsia"/>
          <w:color w:val="auto"/>
          <w:sz w:val="24"/>
          <w:szCs w:val="24"/>
        </w:rPr>
        <w:t>8.1对招标人的纪律要求</w:t>
      </w:r>
    </w:p>
    <w:p>
      <w:pPr>
        <w:spacing w:line="360" w:lineRule="auto"/>
        <w:ind w:firstLine="480" w:firstLineChars="200"/>
        <w:rPr>
          <w:color w:val="auto"/>
          <w:sz w:val="24"/>
          <w:szCs w:val="24"/>
        </w:rPr>
      </w:pPr>
      <w:r>
        <w:rPr>
          <w:rFonts w:hint="eastAsia"/>
          <w:color w:val="auto"/>
          <w:sz w:val="24"/>
          <w:szCs w:val="24"/>
        </w:rPr>
        <w:t>招标人不得泄露招标投标活动中应保密的情况和资料，不得与投标人串通损害国家利益、社会公共利益或他人合法权益。</w:t>
      </w:r>
    </w:p>
    <w:p>
      <w:pPr>
        <w:spacing w:line="360" w:lineRule="auto"/>
        <w:ind w:firstLine="480" w:firstLineChars="200"/>
        <w:rPr>
          <w:color w:val="auto"/>
          <w:sz w:val="24"/>
          <w:szCs w:val="24"/>
        </w:rPr>
      </w:pPr>
      <w:r>
        <w:rPr>
          <w:rFonts w:hint="eastAsia"/>
          <w:color w:val="auto"/>
          <w:sz w:val="24"/>
          <w:szCs w:val="24"/>
        </w:rPr>
        <w:t>8.2对投标人的纪律要求</w:t>
      </w:r>
    </w:p>
    <w:p>
      <w:pPr>
        <w:spacing w:line="360" w:lineRule="auto"/>
        <w:ind w:firstLine="480" w:firstLineChars="200"/>
        <w:rPr>
          <w:color w:val="auto"/>
          <w:sz w:val="24"/>
          <w:szCs w:val="24"/>
        </w:rPr>
      </w:pPr>
      <w:r>
        <w:rPr>
          <w:rFonts w:hint="eastAsia"/>
          <w:color w:val="auto"/>
          <w:sz w:val="24"/>
          <w:szCs w:val="24"/>
        </w:rPr>
        <w:t>投标人不得相互串通投标或与招标人串通投标，不得向招标人或评标委员会成员行贿谋取中标，不得以他人名义投标或以其他方式弄虚作假骗取中标；投标人不得以任何方式干扰、影响评标工作。</w:t>
      </w:r>
    </w:p>
    <w:p>
      <w:pPr>
        <w:spacing w:line="360" w:lineRule="auto"/>
        <w:ind w:firstLine="480" w:firstLineChars="200"/>
        <w:rPr>
          <w:color w:val="auto"/>
          <w:sz w:val="24"/>
          <w:szCs w:val="24"/>
        </w:rPr>
      </w:pPr>
      <w:r>
        <w:rPr>
          <w:rFonts w:hint="eastAsia"/>
          <w:color w:val="auto"/>
          <w:sz w:val="24"/>
          <w:szCs w:val="24"/>
        </w:rPr>
        <w:t>8.3对评标委员会成员的纪律要求</w:t>
      </w:r>
    </w:p>
    <w:p>
      <w:pPr>
        <w:spacing w:line="360" w:lineRule="auto"/>
        <w:ind w:firstLine="480" w:firstLineChars="200"/>
        <w:rPr>
          <w:color w:val="auto"/>
          <w:sz w:val="24"/>
          <w:szCs w:val="24"/>
        </w:rPr>
      </w:pPr>
      <w:r>
        <w:rPr>
          <w:rFonts w:hint="eastAsia"/>
          <w:color w:val="auto"/>
          <w:sz w:val="24"/>
          <w:szCs w:val="24"/>
        </w:rPr>
        <w:t>评标委员会成员不得收受他人的财物或其他好处，不得向他人透露对投标文件的评审和比较、中标候选人的推荐情况以及评标有关的其他情况。在评标活动中，评标委员会成员应客观、公正地履行职责，遵守职业道德，不得擅离职守，影响评标程序正常进行，不得使用第三章“评标办法”没有规定的评审因素和标准进行评标。</w:t>
      </w:r>
    </w:p>
    <w:p>
      <w:pPr>
        <w:spacing w:line="360" w:lineRule="auto"/>
        <w:ind w:firstLine="480" w:firstLineChars="200"/>
        <w:rPr>
          <w:color w:val="auto"/>
          <w:sz w:val="24"/>
          <w:szCs w:val="24"/>
        </w:rPr>
      </w:pPr>
      <w:r>
        <w:rPr>
          <w:rFonts w:hint="eastAsia"/>
          <w:color w:val="auto"/>
          <w:sz w:val="24"/>
          <w:szCs w:val="24"/>
        </w:rPr>
        <w:t>8.4对与评标活动有关的工作人员的纪律要求</w:t>
      </w:r>
    </w:p>
    <w:p>
      <w:pPr>
        <w:spacing w:line="360" w:lineRule="auto"/>
        <w:ind w:firstLine="480" w:firstLineChars="200"/>
        <w:rPr>
          <w:color w:val="auto"/>
          <w:sz w:val="24"/>
          <w:szCs w:val="24"/>
        </w:rPr>
      </w:pPr>
      <w:r>
        <w:rPr>
          <w:rFonts w:hint="eastAsia"/>
          <w:color w:val="auto"/>
          <w:sz w:val="24"/>
          <w:szCs w:val="24"/>
        </w:rPr>
        <w:t>与评标活动有关的工作人员不得收受他人的财物或其他好处，不得向他人透露对投标文件的评审和比较、中标候选人的推荐情况以及评标有关的其他情况。在评标活动中，与评标活动有关的工作人员不得擅离职守，影响评标程序正常进行。</w:t>
      </w:r>
    </w:p>
    <w:p>
      <w:pPr>
        <w:spacing w:line="360" w:lineRule="auto"/>
        <w:ind w:firstLine="480" w:firstLineChars="200"/>
        <w:rPr>
          <w:b w:val="0"/>
          <w:bCs w:val="0"/>
          <w:color w:val="auto"/>
          <w:sz w:val="24"/>
          <w:szCs w:val="24"/>
        </w:rPr>
      </w:pPr>
      <w:r>
        <w:rPr>
          <w:rFonts w:hint="eastAsia"/>
          <w:b w:val="0"/>
          <w:bCs w:val="0"/>
          <w:color w:val="auto"/>
          <w:sz w:val="24"/>
          <w:szCs w:val="24"/>
        </w:rPr>
        <w:t>8.5投诉</w:t>
      </w:r>
    </w:p>
    <w:p>
      <w:pPr>
        <w:spacing w:line="360" w:lineRule="auto"/>
        <w:ind w:firstLine="480" w:firstLineChars="200"/>
        <w:rPr>
          <w:color w:val="auto"/>
          <w:sz w:val="24"/>
          <w:szCs w:val="24"/>
        </w:rPr>
      </w:pPr>
      <w:r>
        <w:rPr>
          <w:rFonts w:hint="eastAsia"/>
          <w:color w:val="auto"/>
          <w:sz w:val="24"/>
          <w:szCs w:val="24"/>
        </w:rPr>
        <w:t>8.5.1投标人或其他利害关系人认为招标投标活动不符合法律、行政法规规定的，可以自知道或应当知道之日起10日内向有关行政监督部门投诉。投诉应有明确的请求和必要的证明材料。</w:t>
      </w:r>
    </w:p>
    <w:p>
      <w:pPr>
        <w:spacing w:line="360" w:lineRule="auto"/>
        <w:ind w:firstLine="480" w:firstLineChars="200"/>
        <w:rPr>
          <w:color w:val="auto"/>
          <w:sz w:val="24"/>
          <w:szCs w:val="24"/>
        </w:rPr>
      </w:pPr>
      <w:r>
        <w:rPr>
          <w:rFonts w:hint="eastAsia"/>
          <w:color w:val="auto"/>
          <w:sz w:val="24"/>
          <w:szCs w:val="24"/>
        </w:rPr>
        <w:t>监督部门的联系方式见投标人须知前附表。</w:t>
      </w:r>
    </w:p>
    <w:p>
      <w:pPr>
        <w:spacing w:line="360" w:lineRule="auto"/>
        <w:ind w:firstLine="480" w:firstLineChars="200"/>
        <w:rPr>
          <w:rFonts w:hint="eastAsia"/>
          <w:color w:val="auto"/>
          <w:sz w:val="24"/>
          <w:szCs w:val="24"/>
        </w:rPr>
      </w:pPr>
      <w:r>
        <w:rPr>
          <w:rFonts w:hint="eastAsia"/>
          <w:color w:val="auto"/>
          <w:sz w:val="24"/>
          <w:szCs w:val="24"/>
        </w:rPr>
        <w:t>8.5.2投标人或其他利害关系人对招标文件、开标和评标结果提出投诉的，应按照本章第2.4款、第5.3款和第7.2款的规定先向招标人提出异议。异议答复期间不计算在第8.5.1项规定的期限内。</w:t>
      </w:r>
    </w:p>
    <w:p>
      <w:pPr>
        <w:spacing w:line="360" w:lineRule="auto"/>
        <w:rPr>
          <w:color w:val="auto"/>
        </w:rPr>
      </w:pPr>
      <w:r>
        <w:rPr>
          <w:rFonts w:hint="eastAsia"/>
          <w:b/>
          <w:bCs/>
          <w:color w:val="auto"/>
          <w:sz w:val="24"/>
          <w:szCs w:val="24"/>
        </w:rPr>
        <w:t>9.是否采用电子招标投标</w:t>
      </w:r>
    </w:p>
    <w:p>
      <w:pPr>
        <w:spacing w:line="360" w:lineRule="auto"/>
        <w:ind w:firstLine="480" w:firstLineChars="200"/>
        <w:rPr>
          <w:rFonts w:hint="eastAsia"/>
          <w:color w:val="auto"/>
          <w:sz w:val="24"/>
          <w:szCs w:val="24"/>
        </w:rPr>
      </w:pPr>
      <w:r>
        <w:rPr>
          <w:rFonts w:hint="eastAsia"/>
          <w:color w:val="auto"/>
          <w:sz w:val="24"/>
          <w:szCs w:val="24"/>
        </w:rPr>
        <w:t>本招标项目是否采用电子招标投标方式，见投标人须知前附表。</w:t>
      </w:r>
    </w:p>
    <w:p>
      <w:pPr>
        <w:spacing w:line="360" w:lineRule="auto"/>
        <w:rPr>
          <w:color w:val="auto"/>
        </w:rPr>
      </w:pPr>
      <w:r>
        <w:rPr>
          <w:rFonts w:hint="eastAsia"/>
          <w:b/>
          <w:bCs/>
          <w:color w:val="auto"/>
          <w:sz w:val="24"/>
          <w:szCs w:val="24"/>
        </w:rPr>
        <w:t>10.需要补充的其他内容</w:t>
      </w:r>
    </w:p>
    <w:p>
      <w:pPr>
        <w:spacing w:line="360" w:lineRule="auto"/>
        <w:ind w:firstLine="480" w:firstLineChars="200"/>
        <w:jc w:val="both"/>
        <w:rPr>
          <w:color w:val="auto"/>
          <w:sz w:val="24"/>
          <w:szCs w:val="24"/>
        </w:rPr>
      </w:pPr>
      <w:r>
        <w:rPr>
          <w:rFonts w:hint="eastAsia"/>
          <w:color w:val="auto"/>
          <w:sz w:val="24"/>
          <w:szCs w:val="24"/>
        </w:rPr>
        <w:t>需要补充的其他内容：见投标人须知前附表。</w:t>
      </w:r>
    </w:p>
    <w:p>
      <w:pPr>
        <w:pStyle w:val="13"/>
        <w:spacing w:before="97"/>
        <w:ind w:left="369"/>
        <w:rPr>
          <w:rFonts w:hint="eastAsia" w:ascii="黑体" w:hAnsi="黑体" w:eastAsia="黑体"/>
          <w:color w:val="auto"/>
          <w:sz w:val="14"/>
          <w:lang w:eastAsia="zh-CN"/>
        </w:rPr>
      </w:pPr>
      <w:r>
        <w:rPr>
          <w:rFonts w:hint="eastAsia" w:ascii="黑体" w:hAnsi="黑体" w:eastAsia="黑体"/>
          <w:color w:val="auto"/>
        </w:rPr>
        <w:t>附件一开标记录表</w:t>
      </w:r>
    </w:p>
    <w:p>
      <w:pPr>
        <w:pStyle w:val="13"/>
        <w:spacing w:before="4"/>
        <w:rPr>
          <w:rFonts w:ascii="黑体"/>
          <w:color w:val="auto"/>
          <w:sz w:val="22"/>
        </w:rPr>
      </w:pPr>
    </w:p>
    <w:p>
      <w:pPr>
        <w:tabs>
          <w:tab w:val="left" w:pos="1609"/>
          <w:tab w:val="left" w:pos="3854"/>
        </w:tabs>
        <w:spacing w:before="70" w:line="292" w:lineRule="auto"/>
        <w:ind w:left="633" w:right="589"/>
        <w:jc w:val="center"/>
        <w:rPr>
          <w:rFonts w:hint="eastAsia" w:ascii="黑体" w:eastAsia="黑体"/>
          <w:color w:val="auto"/>
          <w:spacing w:val="-15"/>
          <w:sz w:val="28"/>
          <w:lang w:eastAsia="zh-CN"/>
        </w:rPr>
      </w:pPr>
      <w:r>
        <w:rPr>
          <w:rFonts w:ascii="Times New Roman" w:eastAsia="Times New Roman"/>
          <w:color w:val="auto"/>
          <w:sz w:val="28"/>
          <w:u w:val="single"/>
        </w:rPr>
        <w:tab/>
      </w:r>
      <w:r>
        <w:rPr>
          <w:rFonts w:hint="eastAsia" w:ascii="黑体" w:eastAsia="黑体"/>
          <w:color w:val="auto"/>
          <w:sz w:val="28"/>
        </w:rPr>
        <w:t>（项目名称）施</w:t>
      </w:r>
      <w:r>
        <w:rPr>
          <w:rFonts w:hint="eastAsia" w:ascii="黑体" w:eastAsia="黑体"/>
          <w:color w:val="auto"/>
          <w:spacing w:val="-3"/>
          <w:sz w:val="28"/>
        </w:rPr>
        <w:t>工第</w:t>
      </w:r>
      <w:r>
        <w:rPr>
          <w:rFonts w:hint="eastAsia" w:ascii="黑体" w:eastAsia="黑体"/>
          <w:color w:val="auto"/>
          <w:sz w:val="28"/>
        </w:rPr>
        <w:t>一个信封（商</w:t>
      </w:r>
      <w:r>
        <w:rPr>
          <w:rFonts w:hint="eastAsia" w:ascii="黑体" w:eastAsia="黑体"/>
          <w:color w:val="auto"/>
          <w:spacing w:val="-3"/>
          <w:sz w:val="28"/>
        </w:rPr>
        <w:t>务及</w:t>
      </w:r>
      <w:r>
        <w:rPr>
          <w:rFonts w:hint="eastAsia" w:ascii="黑体" w:eastAsia="黑体"/>
          <w:color w:val="auto"/>
          <w:sz w:val="28"/>
        </w:rPr>
        <w:t>技术文</w:t>
      </w:r>
      <w:r>
        <w:rPr>
          <w:rFonts w:hint="eastAsia" w:ascii="黑体" w:eastAsia="黑体"/>
          <w:color w:val="auto"/>
          <w:spacing w:val="-3"/>
          <w:sz w:val="28"/>
        </w:rPr>
        <w:t>件</w:t>
      </w:r>
      <w:r>
        <w:rPr>
          <w:rFonts w:hint="eastAsia" w:ascii="黑体" w:eastAsia="黑体"/>
          <w:color w:val="auto"/>
          <w:spacing w:val="-15"/>
          <w:sz w:val="28"/>
        </w:rPr>
        <w:t>）</w:t>
      </w:r>
    </w:p>
    <w:p>
      <w:pPr>
        <w:tabs>
          <w:tab w:val="left" w:pos="1609"/>
          <w:tab w:val="left" w:pos="3854"/>
        </w:tabs>
        <w:spacing w:before="70" w:line="292" w:lineRule="auto"/>
        <w:ind w:left="633" w:right="589"/>
        <w:jc w:val="center"/>
        <w:rPr>
          <w:rFonts w:ascii="黑体" w:eastAsia="黑体"/>
          <w:color w:val="auto"/>
          <w:sz w:val="28"/>
        </w:rPr>
      </w:pPr>
      <w:r>
        <w:rPr>
          <w:rFonts w:hint="eastAsia" w:ascii="黑体" w:eastAsia="黑体"/>
          <w:color w:val="auto"/>
          <w:sz w:val="28"/>
        </w:rPr>
        <w:t>开标记</w:t>
      </w:r>
      <w:r>
        <w:rPr>
          <w:rFonts w:hint="eastAsia" w:ascii="黑体" w:eastAsia="黑体"/>
          <w:color w:val="auto"/>
          <w:spacing w:val="-3"/>
          <w:sz w:val="28"/>
        </w:rPr>
        <w:t>录</w:t>
      </w:r>
      <w:r>
        <w:rPr>
          <w:rFonts w:hint="eastAsia" w:ascii="黑体" w:eastAsia="黑体"/>
          <w:color w:val="auto"/>
          <w:sz w:val="28"/>
        </w:rPr>
        <w:t>表</w:t>
      </w:r>
    </w:p>
    <w:p>
      <w:pPr>
        <w:tabs>
          <w:tab w:val="left" w:pos="1609"/>
          <w:tab w:val="left" w:pos="3854"/>
        </w:tabs>
        <w:spacing w:before="70"/>
        <w:ind w:left="633" w:right="589"/>
        <w:jc w:val="center"/>
        <w:rPr>
          <w:rFonts w:ascii="黑体" w:eastAsia="黑体"/>
          <w:color w:val="auto"/>
          <w:sz w:val="21"/>
          <w:szCs w:val="18"/>
        </w:rPr>
      </w:pPr>
    </w:p>
    <w:p>
      <w:pPr>
        <w:pStyle w:val="13"/>
        <w:tabs>
          <w:tab w:val="left" w:pos="6518"/>
          <w:tab w:val="left" w:pos="7118"/>
          <w:tab w:val="left" w:pos="7719"/>
          <w:tab w:val="left" w:pos="8319"/>
          <w:tab w:val="left" w:pos="8919"/>
        </w:tabs>
        <w:spacing w:before="45" w:after="20"/>
        <w:ind w:left="4958"/>
        <w:rPr>
          <w:color w:val="auto"/>
        </w:rPr>
      </w:pPr>
      <w:r>
        <w:rPr>
          <w:color w:val="auto"/>
        </w:rPr>
        <w:t>开标时间：</w:t>
      </w:r>
      <w:r>
        <w:rPr>
          <w:color w:val="auto"/>
          <w:u w:val="single"/>
        </w:rPr>
        <w:tab/>
      </w:r>
      <w:r>
        <w:rPr>
          <w:color w:val="auto"/>
        </w:rPr>
        <w:t>年</w:t>
      </w:r>
      <w:r>
        <w:rPr>
          <w:color w:val="auto"/>
          <w:u w:val="single"/>
        </w:rPr>
        <w:tab/>
      </w:r>
      <w:r>
        <w:rPr>
          <w:color w:val="auto"/>
        </w:rPr>
        <w:t>月</w:t>
      </w:r>
      <w:r>
        <w:rPr>
          <w:color w:val="auto"/>
          <w:u w:val="single"/>
        </w:rPr>
        <w:tab/>
      </w:r>
      <w:r>
        <w:rPr>
          <w:color w:val="auto"/>
        </w:rPr>
        <w:t>日</w:t>
      </w:r>
      <w:r>
        <w:rPr>
          <w:color w:val="auto"/>
          <w:u w:val="single"/>
        </w:rPr>
        <w:tab/>
      </w:r>
      <w:r>
        <w:rPr>
          <w:color w:val="auto"/>
        </w:rPr>
        <w:t>时</w:t>
      </w:r>
      <w:r>
        <w:rPr>
          <w:color w:val="auto"/>
          <w:u w:val="single"/>
        </w:rPr>
        <w:tab/>
      </w:r>
      <w:r>
        <w:rPr>
          <w:color w:val="auto"/>
        </w:rPr>
        <w:t>分</w:t>
      </w:r>
    </w:p>
    <w:tbl>
      <w:tblPr>
        <w:tblStyle w:val="25"/>
        <w:tblW w:w="895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96"/>
        <w:gridCol w:w="1596"/>
        <w:gridCol w:w="1275"/>
        <w:gridCol w:w="1560"/>
        <w:gridCol w:w="1135"/>
        <w:gridCol w:w="849"/>
        <w:gridCol w:w="18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0" w:hRule="atLeast"/>
          <w:jc w:val="center"/>
        </w:trPr>
        <w:tc>
          <w:tcPr>
            <w:tcW w:w="696" w:type="dxa"/>
          </w:tcPr>
          <w:p>
            <w:pPr>
              <w:pStyle w:val="32"/>
              <w:rPr>
                <w:color w:val="auto"/>
                <w:sz w:val="20"/>
              </w:rPr>
            </w:pPr>
          </w:p>
          <w:p>
            <w:pPr>
              <w:pStyle w:val="32"/>
              <w:spacing w:before="4"/>
              <w:rPr>
                <w:color w:val="auto"/>
                <w:sz w:val="14"/>
              </w:rPr>
            </w:pPr>
          </w:p>
          <w:p>
            <w:pPr>
              <w:pStyle w:val="32"/>
              <w:ind w:left="136"/>
              <w:rPr>
                <w:color w:val="auto"/>
                <w:sz w:val="21"/>
              </w:rPr>
            </w:pPr>
            <w:r>
              <w:rPr>
                <w:color w:val="auto"/>
                <w:sz w:val="21"/>
              </w:rPr>
              <w:t>序号</w:t>
            </w:r>
          </w:p>
        </w:tc>
        <w:tc>
          <w:tcPr>
            <w:tcW w:w="1596" w:type="dxa"/>
          </w:tcPr>
          <w:p>
            <w:pPr>
              <w:pStyle w:val="32"/>
              <w:rPr>
                <w:color w:val="auto"/>
                <w:sz w:val="20"/>
              </w:rPr>
            </w:pPr>
          </w:p>
          <w:p>
            <w:pPr>
              <w:pStyle w:val="32"/>
              <w:spacing w:before="4"/>
              <w:rPr>
                <w:color w:val="auto"/>
                <w:sz w:val="14"/>
              </w:rPr>
            </w:pPr>
          </w:p>
          <w:p>
            <w:pPr>
              <w:pStyle w:val="32"/>
              <w:ind w:left="482"/>
              <w:rPr>
                <w:color w:val="auto"/>
                <w:sz w:val="21"/>
              </w:rPr>
            </w:pPr>
            <w:r>
              <w:rPr>
                <w:color w:val="auto"/>
                <w:sz w:val="21"/>
              </w:rPr>
              <w:t>投标人</w:t>
            </w:r>
          </w:p>
        </w:tc>
        <w:tc>
          <w:tcPr>
            <w:tcW w:w="1275" w:type="dxa"/>
          </w:tcPr>
          <w:p>
            <w:pPr>
              <w:pStyle w:val="32"/>
              <w:rPr>
                <w:color w:val="auto"/>
                <w:sz w:val="20"/>
              </w:rPr>
            </w:pPr>
          </w:p>
          <w:p>
            <w:pPr>
              <w:pStyle w:val="32"/>
              <w:spacing w:before="4"/>
              <w:rPr>
                <w:color w:val="auto"/>
                <w:sz w:val="14"/>
              </w:rPr>
            </w:pPr>
          </w:p>
          <w:p>
            <w:pPr>
              <w:pStyle w:val="32"/>
              <w:ind w:left="216"/>
              <w:rPr>
                <w:color w:val="auto"/>
                <w:sz w:val="21"/>
              </w:rPr>
            </w:pPr>
            <w:r>
              <w:rPr>
                <w:color w:val="auto"/>
                <w:sz w:val="21"/>
              </w:rPr>
              <w:t>密封情况</w:t>
            </w:r>
          </w:p>
        </w:tc>
        <w:tc>
          <w:tcPr>
            <w:tcW w:w="1560" w:type="dxa"/>
          </w:tcPr>
          <w:p>
            <w:pPr>
              <w:pStyle w:val="32"/>
              <w:spacing w:before="11"/>
              <w:rPr>
                <w:color w:val="auto"/>
                <w:sz w:val="14"/>
              </w:rPr>
            </w:pPr>
          </w:p>
          <w:p>
            <w:pPr>
              <w:pStyle w:val="32"/>
              <w:ind w:left="24" w:right="15"/>
              <w:jc w:val="center"/>
              <w:rPr>
                <w:color w:val="auto"/>
                <w:sz w:val="21"/>
              </w:rPr>
            </w:pPr>
            <w:r>
              <w:rPr>
                <w:color w:val="auto"/>
                <w:sz w:val="21"/>
              </w:rPr>
              <w:t>投标保证金递交</w:t>
            </w:r>
          </w:p>
          <w:p>
            <w:pPr>
              <w:pStyle w:val="32"/>
              <w:spacing w:before="2"/>
              <w:rPr>
                <w:color w:val="auto"/>
                <w:sz w:val="18"/>
              </w:rPr>
            </w:pPr>
          </w:p>
          <w:p>
            <w:pPr>
              <w:pStyle w:val="32"/>
              <w:ind w:left="24" w:right="15"/>
              <w:jc w:val="center"/>
              <w:rPr>
                <w:color w:val="auto"/>
                <w:sz w:val="21"/>
              </w:rPr>
            </w:pPr>
            <w:r>
              <w:rPr>
                <w:color w:val="auto"/>
                <w:sz w:val="21"/>
              </w:rPr>
              <w:t>情况</w:t>
            </w:r>
          </w:p>
        </w:tc>
        <w:tc>
          <w:tcPr>
            <w:tcW w:w="1135" w:type="dxa"/>
          </w:tcPr>
          <w:p>
            <w:pPr>
              <w:pStyle w:val="32"/>
              <w:rPr>
                <w:color w:val="auto"/>
                <w:sz w:val="20"/>
              </w:rPr>
            </w:pPr>
          </w:p>
          <w:p>
            <w:pPr>
              <w:pStyle w:val="32"/>
              <w:spacing w:before="4"/>
              <w:rPr>
                <w:color w:val="auto"/>
                <w:sz w:val="14"/>
              </w:rPr>
            </w:pPr>
          </w:p>
          <w:p>
            <w:pPr>
              <w:pStyle w:val="32"/>
              <w:ind w:left="355"/>
              <w:rPr>
                <w:color w:val="auto"/>
                <w:sz w:val="21"/>
              </w:rPr>
            </w:pPr>
            <w:r>
              <w:rPr>
                <w:color w:val="auto"/>
                <w:sz w:val="21"/>
              </w:rPr>
              <w:t>工期</w:t>
            </w:r>
          </w:p>
        </w:tc>
        <w:tc>
          <w:tcPr>
            <w:tcW w:w="849" w:type="dxa"/>
          </w:tcPr>
          <w:p>
            <w:pPr>
              <w:pStyle w:val="32"/>
              <w:rPr>
                <w:color w:val="auto"/>
                <w:sz w:val="20"/>
              </w:rPr>
            </w:pPr>
          </w:p>
          <w:p>
            <w:pPr>
              <w:pStyle w:val="32"/>
              <w:spacing w:before="4"/>
              <w:rPr>
                <w:color w:val="auto"/>
                <w:sz w:val="14"/>
              </w:rPr>
            </w:pPr>
          </w:p>
          <w:p>
            <w:pPr>
              <w:pStyle w:val="32"/>
              <w:ind w:left="211"/>
              <w:rPr>
                <w:color w:val="auto"/>
                <w:sz w:val="21"/>
              </w:rPr>
            </w:pPr>
            <w:r>
              <w:rPr>
                <w:color w:val="auto"/>
                <w:sz w:val="21"/>
              </w:rPr>
              <w:t>备注</w:t>
            </w:r>
          </w:p>
        </w:tc>
        <w:tc>
          <w:tcPr>
            <w:tcW w:w="1843" w:type="dxa"/>
          </w:tcPr>
          <w:p>
            <w:pPr>
              <w:pStyle w:val="32"/>
              <w:rPr>
                <w:color w:val="auto"/>
                <w:sz w:val="20"/>
              </w:rPr>
            </w:pPr>
          </w:p>
          <w:p>
            <w:pPr>
              <w:pStyle w:val="32"/>
              <w:spacing w:before="4"/>
              <w:rPr>
                <w:color w:val="auto"/>
                <w:sz w:val="14"/>
              </w:rPr>
            </w:pPr>
          </w:p>
          <w:p>
            <w:pPr>
              <w:pStyle w:val="32"/>
              <w:ind w:left="185"/>
              <w:rPr>
                <w:color w:val="auto"/>
                <w:sz w:val="21"/>
              </w:rPr>
            </w:pPr>
            <w:r>
              <w:rPr>
                <w:color w:val="auto"/>
                <w:sz w:val="21"/>
              </w:rPr>
              <w:t>投标人代表签名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jc w:val="center"/>
        </w:trPr>
        <w:tc>
          <w:tcPr>
            <w:tcW w:w="696" w:type="dxa"/>
          </w:tcPr>
          <w:p>
            <w:pPr>
              <w:pStyle w:val="32"/>
              <w:rPr>
                <w:rFonts w:ascii="Times New Roman"/>
                <w:color w:val="auto"/>
                <w:sz w:val="20"/>
              </w:rPr>
            </w:pPr>
          </w:p>
        </w:tc>
        <w:tc>
          <w:tcPr>
            <w:tcW w:w="1596" w:type="dxa"/>
          </w:tcPr>
          <w:p>
            <w:pPr>
              <w:pStyle w:val="32"/>
              <w:rPr>
                <w:rFonts w:ascii="Times New Roman"/>
                <w:color w:val="auto"/>
                <w:sz w:val="20"/>
              </w:rPr>
            </w:pPr>
          </w:p>
        </w:tc>
        <w:tc>
          <w:tcPr>
            <w:tcW w:w="1275" w:type="dxa"/>
          </w:tcPr>
          <w:p>
            <w:pPr>
              <w:pStyle w:val="32"/>
              <w:rPr>
                <w:rFonts w:ascii="Times New Roman"/>
                <w:color w:val="auto"/>
                <w:sz w:val="20"/>
              </w:rPr>
            </w:pPr>
          </w:p>
        </w:tc>
        <w:tc>
          <w:tcPr>
            <w:tcW w:w="1560" w:type="dxa"/>
          </w:tcPr>
          <w:p>
            <w:pPr>
              <w:pStyle w:val="32"/>
              <w:rPr>
                <w:rFonts w:ascii="Times New Roman"/>
                <w:color w:val="auto"/>
                <w:sz w:val="20"/>
              </w:rPr>
            </w:pPr>
          </w:p>
        </w:tc>
        <w:tc>
          <w:tcPr>
            <w:tcW w:w="1135" w:type="dxa"/>
          </w:tcPr>
          <w:p>
            <w:pPr>
              <w:pStyle w:val="32"/>
              <w:rPr>
                <w:rFonts w:ascii="Times New Roman"/>
                <w:color w:val="auto"/>
                <w:sz w:val="20"/>
              </w:rPr>
            </w:pPr>
          </w:p>
        </w:tc>
        <w:tc>
          <w:tcPr>
            <w:tcW w:w="849" w:type="dxa"/>
          </w:tcPr>
          <w:p>
            <w:pPr>
              <w:pStyle w:val="32"/>
              <w:rPr>
                <w:rFonts w:ascii="Times New Roman"/>
                <w:color w:val="auto"/>
                <w:sz w:val="20"/>
              </w:rPr>
            </w:pPr>
          </w:p>
        </w:tc>
        <w:tc>
          <w:tcPr>
            <w:tcW w:w="1843" w:type="dxa"/>
          </w:tcPr>
          <w:p>
            <w:pPr>
              <w:pStyle w:val="32"/>
              <w:rPr>
                <w:rFonts w:ascii="Times New Roman"/>
                <w:color w:val="auto"/>
                <w:sz w:val="20"/>
              </w:rPr>
            </w:pPr>
          </w:p>
        </w:tc>
      </w:tr>
    </w:tbl>
    <w:p>
      <w:pPr>
        <w:pStyle w:val="13"/>
        <w:rPr>
          <w:color w:val="auto"/>
          <w:sz w:val="26"/>
        </w:rPr>
      </w:pPr>
    </w:p>
    <w:p>
      <w:pPr>
        <w:pStyle w:val="13"/>
        <w:spacing w:before="8"/>
        <w:rPr>
          <w:color w:val="auto"/>
          <w:sz w:val="30"/>
        </w:rPr>
      </w:pPr>
    </w:p>
    <w:p>
      <w:pPr>
        <w:tabs>
          <w:tab w:val="left" w:pos="2763"/>
          <w:tab w:val="left" w:pos="6705"/>
          <w:tab w:val="left" w:pos="8928"/>
        </w:tabs>
        <w:ind w:left="90"/>
        <w:jc w:val="center"/>
        <w:rPr>
          <w:rFonts w:hint="eastAsia" w:ascii="Times New Roman" w:eastAsia="宋体"/>
          <w:color w:val="auto"/>
          <w:sz w:val="21"/>
          <w:lang w:val="en-US" w:eastAsia="zh-CN"/>
        </w:rPr>
      </w:pPr>
      <w:r>
        <w:rPr>
          <w:color w:val="auto"/>
          <w:sz w:val="21"/>
        </w:rPr>
        <w:t>招标</w:t>
      </w:r>
      <w:r>
        <w:rPr>
          <w:color w:val="auto"/>
          <w:spacing w:val="-3"/>
          <w:sz w:val="21"/>
        </w:rPr>
        <w:t>人</w:t>
      </w:r>
      <w:r>
        <w:rPr>
          <w:color w:val="auto"/>
          <w:sz w:val="21"/>
        </w:rPr>
        <w:t>代</w:t>
      </w:r>
      <w:r>
        <w:rPr>
          <w:color w:val="auto"/>
          <w:spacing w:val="-3"/>
          <w:sz w:val="21"/>
        </w:rPr>
        <w:t>表</w:t>
      </w:r>
      <w:r>
        <w:rPr>
          <w:color w:val="auto"/>
          <w:sz w:val="21"/>
        </w:rPr>
        <w:t>：</w:t>
      </w:r>
      <w:r>
        <w:rPr>
          <w:color w:val="auto"/>
          <w:sz w:val="21"/>
          <w:u w:val="single"/>
        </w:rPr>
        <w:tab/>
      </w:r>
      <w:r>
        <w:rPr>
          <w:color w:val="auto"/>
          <w:sz w:val="21"/>
        </w:rPr>
        <w:tab/>
      </w:r>
      <w:r>
        <w:rPr>
          <w:color w:val="auto"/>
          <w:sz w:val="21"/>
        </w:rPr>
        <w:t>记</w:t>
      </w:r>
      <w:r>
        <w:rPr>
          <w:color w:val="auto"/>
          <w:spacing w:val="-3"/>
          <w:sz w:val="21"/>
        </w:rPr>
        <w:t>录人</w:t>
      </w:r>
      <w:r>
        <w:rPr>
          <w:color w:val="auto"/>
          <w:sz w:val="21"/>
        </w:rPr>
        <w:t>：</w:t>
      </w:r>
      <w:r>
        <w:rPr>
          <w:rFonts w:ascii="Times New Roman" w:eastAsia="Times New Roman"/>
          <w:color w:val="auto"/>
          <w:sz w:val="21"/>
          <w:u w:val="single"/>
        </w:rPr>
        <w:tab/>
      </w:r>
    </w:p>
    <w:p>
      <w:pPr>
        <w:pStyle w:val="13"/>
        <w:spacing w:before="8"/>
        <w:rPr>
          <w:rFonts w:ascii="Times New Roman"/>
          <w:color w:val="auto"/>
        </w:rPr>
      </w:pPr>
    </w:p>
    <w:p>
      <w:pPr>
        <w:pStyle w:val="13"/>
        <w:tabs>
          <w:tab w:val="left" w:pos="959"/>
          <w:tab w:val="left" w:pos="1680"/>
          <w:tab w:val="left" w:pos="2400"/>
        </w:tabs>
        <w:spacing w:before="74"/>
        <w:ind w:right="324"/>
        <w:jc w:val="right"/>
        <w:rPr>
          <w:color w:val="auto"/>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pStyle w:val="13"/>
        <w:rPr>
          <w:color w:val="auto"/>
          <w:sz w:val="20"/>
        </w:rPr>
      </w:pPr>
    </w:p>
    <w:p>
      <w:pPr>
        <w:pStyle w:val="13"/>
        <w:spacing w:before="11"/>
        <w:rPr>
          <w:color w:val="auto"/>
          <w:sz w:val="18"/>
        </w:rPr>
      </w:pPr>
    </w:p>
    <w:p>
      <w:pPr>
        <w:spacing w:line="331" w:lineRule="auto"/>
        <w:rPr>
          <w:color w:val="auto"/>
          <w:sz w:val="18"/>
        </w:rPr>
        <w:sectPr>
          <w:pgSz w:w="11911" w:h="16838"/>
          <w:pgMar w:top="1247" w:right="1134" w:bottom="1247" w:left="1134" w:header="737" w:footer="850" w:gutter="0"/>
          <w:pgNumType w:fmt="numberInDash"/>
          <w:cols w:space="0" w:num="1"/>
          <w:rtlGutter w:val="0"/>
          <w:docGrid w:linePitch="0" w:charSpace="0"/>
        </w:sectPr>
      </w:pPr>
    </w:p>
    <w:p>
      <w:pPr>
        <w:pStyle w:val="13"/>
        <w:spacing w:before="8"/>
        <w:rPr>
          <w:color w:val="auto"/>
          <w:sz w:val="8"/>
        </w:rPr>
      </w:pPr>
    </w:p>
    <w:p>
      <w:pPr>
        <w:tabs>
          <w:tab w:val="left" w:pos="2029"/>
          <w:tab w:val="left" w:pos="4274"/>
        </w:tabs>
        <w:spacing w:before="70" w:line="292" w:lineRule="auto"/>
        <w:ind w:left="1053" w:right="1009"/>
        <w:jc w:val="center"/>
        <w:rPr>
          <w:rFonts w:ascii="Times New Roman" w:eastAsia="Times New Roman"/>
          <w:color w:val="auto"/>
          <w:sz w:val="28"/>
          <w:u w:val="single"/>
        </w:rPr>
      </w:pPr>
    </w:p>
    <w:p>
      <w:pPr>
        <w:tabs>
          <w:tab w:val="left" w:pos="2029"/>
          <w:tab w:val="left" w:pos="4274"/>
        </w:tabs>
        <w:spacing w:before="70" w:line="292" w:lineRule="auto"/>
        <w:ind w:left="1053" w:right="1009"/>
        <w:jc w:val="center"/>
        <w:rPr>
          <w:rFonts w:hint="eastAsia" w:ascii="黑体" w:eastAsia="黑体"/>
          <w:color w:val="auto"/>
          <w:spacing w:val="-15"/>
          <w:sz w:val="28"/>
          <w:lang w:eastAsia="zh-CN"/>
        </w:rPr>
      </w:pPr>
      <w:r>
        <w:rPr>
          <w:rFonts w:ascii="Times New Roman" w:eastAsia="Times New Roman"/>
          <w:color w:val="auto"/>
          <w:sz w:val="28"/>
          <w:u w:val="single"/>
        </w:rPr>
        <w:tab/>
      </w:r>
      <w:r>
        <w:rPr>
          <w:rFonts w:hint="eastAsia" w:ascii="黑体" w:eastAsia="黑体"/>
          <w:color w:val="auto"/>
          <w:sz w:val="28"/>
        </w:rPr>
        <w:t>（项目名称）施</w:t>
      </w:r>
      <w:r>
        <w:rPr>
          <w:rFonts w:hint="eastAsia" w:ascii="黑体" w:eastAsia="黑体"/>
          <w:color w:val="auto"/>
          <w:spacing w:val="-3"/>
          <w:sz w:val="28"/>
        </w:rPr>
        <w:t>工第</w:t>
      </w:r>
      <w:r>
        <w:rPr>
          <w:rFonts w:hint="eastAsia" w:ascii="黑体" w:eastAsia="黑体"/>
          <w:color w:val="auto"/>
          <w:sz w:val="28"/>
        </w:rPr>
        <w:t>二个信</w:t>
      </w:r>
      <w:r>
        <w:rPr>
          <w:rFonts w:hint="eastAsia" w:ascii="黑体" w:eastAsia="黑体"/>
          <w:color w:val="auto"/>
          <w:spacing w:val="-3"/>
          <w:sz w:val="28"/>
        </w:rPr>
        <w:t>封</w:t>
      </w:r>
      <w:r>
        <w:rPr>
          <w:rFonts w:hint="eastAsia" w:ascii="黑体" w:eastAsia="黑体"/>
          <w:color w:val="auto"/>
          <w:sz w:val="28"/>
        </w:rPr>
        <w:t>（报</w:t>
      </w:r>
      <w:r>
        <w:rPr>
          <w:rFonts w:hint="eastAsia" w:ascii="黑体" w:eastAsia="黑体"/>
          <w:color w:val="auto"/>
          <w:spacing w:val="-3"/>
          <w:sz w:val="28"/>
        </w:rPr>
        <w:t>价文</w:t>
      </w:r>
      <w:r>
        <w:rPr>
          <w:rFonts w:hint="eastAsia" w:ascii="黑体" w:eastAsia="黑体"/>
          <w:color w:val="auto"/>
          <w:sz w:val="28"/>
        </w:rPr>
        <w:t>件</w:t>
      </w:r>
      <w:r>
        <w:rPr>
          <w:rFonts w:hint="eastAsia" w:ascii="黑体" w:eastAsia="黑体"/>
          <w:color w:val="auto"/>
          <w:spacing w:val="-15"/>
          <w:sz w:val="28"/>
        </w:rPr>
        <w:t>）</w:t>
      </w:r>
    </w:p>
    <w:p>
      <w:pPr>
        <w:tabs>
          <w:tab w:val="left" w:pos="2029"/>
          <w:tab w:val="left" w:pos="4274"/>
        </w:tabs>
        <w:spacing w:before="70" w:line="292" w:lineRule="auto"/>
        <w:ind w:left="1053" w:right="1009"/>
        <w:jc w:val="center"/>
        <w:rPr>
          <w:rFonts w:ascii="黑体" w:eastAsia="黑体"/>
          <w:color w:val="auto"/>
          <w:sz w:val="28"/>
        </w:rPr>
      </w:pPr>
      <w:r>
        <w:rPr>
          <w:rFonts w:hint="eastAsia" w:ascii="黑体" w:eastAsia="黑体"/>
          <w:color w:val="auto"/>
          <w:sz w:val="28"/>
        </w:rPr>
        <w:t>开标记</w:t>
      </w:r>
      <w:r>
        <w:rPr>
          <w:rFonts w:hint="eastAsia" w:ascii="黑体" w:eastAsia="黑体"/>
          <w:color w:val="auto"/>
          <w:spacing w:val="-3"/>
          <w:sz w:val="28"/>
        </w:rPr>
        <w:t>录</w:t>
      </w:r>
      <w:r>
        <w:rPr>
          <w:rFonts w:hint="eastAsia" w:ascii="黑体" w:eastAsia="黑体"/>
          <w:color w:val="auto"/>
          <w:sz w:val="28"/>
        </w:rPr>
        <w:t>表</w:t>
      </w:r>
    </w:p>
    <w:p>
      <w:pPr>
        <w:tabs>
          <w:tab w:val="left" w:pos="2029"/>
          <w:tab w:val="left" w:pos="4274"/>
        </w:tabs>
        <w:spacing w:before="70" w:line="292" w:lineRule="auto"/>
        <w:ind w:left="1053" w:right="1009"/>
        <w:jc w:val="center"/>
        <w:rPr>
          <w:rFonts w:ascii="黑体" w:eastAsia="黑体"/>
          <w:color w:val="auto"/>
          <w:sz w:val="28"/>
        </w:rPr>
      </w:pPr>
    </w:p>
    <w:p>
      <w:pPr>
        <w:pStyle w:val="13"/>
        <w:tabs>
          <w:tab w:val="left" w:pos="6518"/>
          <w:tab w:val="left" w:pos="7118"/>
          <w:tab w:val="left" w:pos="7719"/>
          <w:tab w:val="left" w:pos="8319"/>
          <w:tab w:val="left" w:pos="8919"/>
        </w:tabs>
        <w:spacing w:before="43" w:after="22"/>
        <w:ind w:left="4958"/>
        <w:rPr>
          <w:color w:val="auto"/>
        </w:rPr>
      </w:pPr>
      <w:r>
        <w:rPr>
          <w:color w:val="auto"/>
        </w:rPr>
        <w:t>开标时间：</w:t>
      </w:r>
      <w:r>
        <w:rPr>
          <w:color w:val="auto"/>
          <w:u w:val="single"/>
        </w:rPr>
        <w:tab/>
      </w:r>
      <w:r>
        <w:rPr>
          <w:color w:val="auto"/>
        </w:rPr>
        <w:t>年</w:t>
      </w:r>
      <w:r>
        <w:rPr>
          <w:color w:val="auto"/>
          <w:u w:val="single"/>
        </w:rPr>
        <w:tab/>
      </w:r>
      <w:r>
        <w:rPr>
          <w:color w:val="auto"/>
        </w:rPr>
        <w:t>月</w:t>
      </w:r>
      <w:r>
        <w:rPr>
          <w:color w:val="auto"/>
          <w:u w:val="single"/>
        </w:rPr>
        <w:tab/>
      </w:r>
      <w:r>
        <w:rPr>
          <w:color w:val="auto"/>
        </w:rPr>
        <w:t>日</w:t>
      </w:r>
      <w:r>
        <w:rPr>
          <w:color w:val="auto"/>
          <w:u w:val="single"/>
        </w:rPr>
        <w:tab/>
      </w:r>
      <w:r>
        <w:rPr>
          <w:color w:val="auto"/>
        </w:rPr>
        <w:t>时</w:t>
      </w:r>
      <w:r>
        <w:rPr>
          <w:color w:val="auto"/>
          <w:u w:val="single"/>
        </w:rPr>
        <w:tab/>
      </w:r>
      <w:r>
        <w:rPr>
          <w:color w:val="auto"/>
        </w:rPr>
        <w:t>分</w:t>
      </w:r>
    </w:p>
    <w:tbl>
      <w:tblPr>
        <w:tblStyle w:val="25"/>
        <w:tblW w:w="9000" w:type="dxa"/>
        <w:tblInd w:w="26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8"/>
        <w:gridCol w:w="1440"/>
        <w:gridCol w:w="1364"/>
        <w:gridCol w:w="1561"/>
        <w:gridCol w:w="1181"/>
        <w:gridCol w:w="1008"/>
        <w:gridCol w:w="173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7" w:hRule="atLeast"/>
        </w:trPr>
        <w:tc>
          <w:tcPr>
            <w:tcW w:w="708" w:type="dxa"/>
          </w:tcPr>
          <w:p>
            <w:pPr>
              <w:pStyle w:val="32"/>
              <w:rPr>
                <w:color w:val="auto"/>
                <w:sz w:val="20"/>
              </w:rPr>
            </w:pPr>
          </w:p>
          <w:p>
            <w:pPr>
              <w:pStyle w:val="32"/>
              <w:spacing w:before="4"/>
              <w:rPr>
                <w:color w:val="auto"/>
                <w:sz w:val="14"/>
              </w:rPr>
            </w:pPr>
          </w:p>
          <w:p>
            <w:pPr>
              <w:pStyle w:val="32"/>
              <w:ind w:left="143"/>
              <w:rPr>
                <w:color w:val="auto"/>
                <w:sz w:val="21"/>
              </w:rPr>
            </w:pPr>
            <w:r>
              <w:rPr>
                <w:color w:val="auto"/>
                <w:sz w:val="21"/>
              </w:rPr>
              <w:t>序号</w:t>
            </w:r>
          </w:p>
        </w:tc>
        <w:tc>
          <w:tcPr>
            <w:tcW w:w="1440" w:type="dxa"/>
          </w:tcPr>
          <w:p>
            <w:pPr>
              <w:pStyle w:val="32"/>
              <w:rPr>
                <w:color w:val="auto"/>
                <w:sz w:val="20"/>
              </w:rPr>
            </w:pPr>
          </w:p>
          <w:p>
            <w:pPr>
              <w:pStyle w:val="32"/>
              <w:spacing w:before="4"/>
              <w:rPr>
                <w:color w:val="auto"/>
                <w:sz w:val="14"/>
              </w:rPr>
            </w:pPr>
          </w:p>
          <w:p>
            <w:pPr>
              <w:pStyle w:val="32"/>
              <w:ind w:left="402"/>
              <w:rPr>
                <w:color w:val="auto"/>
                <w:sz w:val="21"/>
              </w:rPr>
            </w:pPr>
            <w:r>
              <w:rPr>
                <w:color w:val="auto"/>
                <w:sz w:val="21"/>
              </w:rPr>
              <w:t>投标人</w:t>
            </w:r>
          </w:p>
        </w:tc>
        <w:tc>
          <w:tcPr>
            <w:tcW w:w="1364" w:type="dxa"/>
          </w:tcPr>
          <w:p>
            <w:pPr>
              <w:pStyle w:val="32"/>
              <w:rPr>
                <w:color w:val="auto"/>
                <w:sz w:val="20"/>
              </w:rPr>
            </w:pPr>
          </w:p>
          <w:p>
            <w:pPr>
              <w:pStyle w:val="32"/>
              <w:spacing w:before="4"/>
              <w:rPr>
                <w:color w:val="auto"/>
                <w:sz w:val="14"/>
              </w:rPr>
            </w:pPr>
          </w:p>
          <w:p>
            <w:pPr>
              <w:pStyle w:val="32"/>
              <w:ind w:left="259"/>
              <w:rPr>
                <w:color w:val="auto"/>
                <w:sz w:val="21"/>
              </w:rPr>
            </w:pPr>
            <w:r>
              <w:rPr>
                <w:color w:val="auto"/>
                <w:sz w:val="21"/>
              </w:rPr>
              <w:t>密封情况</w:t>
            </w:r>
          </w:p>
        </w:tc>
        <w:tc>
          <w:tcPr>
            <w:tcW w:w="1561" w:type="dxa"/>
          </w:tcPr>
          <w:p>
            <w:pPr>
              <w:pStyle w:val="32"/>
              <w:rPr>
                <w:color w:val="auto"/>
                <w:sz w:val="20"/>
              </w:rPr>
            </w:pPr>
          </w:p>
          <w:p>
            <w:pPr>
              <w:pStyle w:val="32"/>
              <w:spacing w:before="4"/>
              <w:rPr>
                <w:color w:val="auto"/>
                <w:sz w:val="14"/>
              </w:rPr>
            </w:pPr>
          </w:p>
          <w:p>
            <w:pPr>
              <w:pStyle w:val="32"/>
              <w:ind w:left="40"/>
              <w:rPr>
                <w:color w:val="auto"/>
                <w:sz w:val="21"/>
              </w:rPr>
            </w:pPr>
            <w:r>
              <w:rPr>
                <w:color w:val="auto"/>
                <w:sz w:val="21"/>
              </w:rPr>
              <w:t>投标报价（元）</w:t>
            </w:r>
          </w:p>
        </w:tc>
        <w:tc>
          <w:tcPr>
            <w:tcW w:w="1181" w:type="dxa"/>
          </w:tcPr>
          <w:p>
            <w:pPr>
              <w:pStyle w:val="32"/>
              <w:spacing w:line="500" w:lineRule="exact"/>
              <w:ind w:left="61" w:right="54"/>
              <w:rPr>
                <w:color w:val="auto"/>
                <w:sz w:val="21"/>
              </w:rPr>
            </w:pPr>
            <w:r>
              <w:rPr>
                <w:color w:val="auto"/>
                <w:sz w:val="21"/>
              </w:rPr>
              <w:t>是否超过最高投标限价</w:t>
            </w:r>
          </w:p>
        </w:tc>
        <w:tc>
          <w:tcPr>
            <w:tcW w:w="1008" w:type="dxa"/>
          </w:tcPr>
          <w:p>
            <w:pPr>
              <w:pStyle w:val="32"/>
              <w:rPr>
                <w:color w:val="auto"/>
                <w:sz w:val="20"/>
              </w:rPr>
            </w:pPr>
          </w:p>
          <w:p>
            <w:pPr>
              <w:pStyle w:val="32"/>
              <w:spacing w:before="4"/>
              <w:rPr>
                <w:color w:val="auto"/>
                <w:sz w:val="14"/>
              </w:rPr>
            </w:pPr>
          </w:p>
          <w:p>
            <w:pPr>
              <w:pStyle w:val="32"/>
              <w:ind w:left="291"/>
              <w:rPr>
                <w:color w:val="auto"/>
                <w:sz w:val="21"/>
              </w:rPr>
            </w:pPr>
            <w:r>
              <w:rPr>
                <w:color w:val="auto"/>
                <w:sz w:val="21"/>
              </w:rPr>
              <w:t>备注</w:t>
            </w:r>
          </w:p>
        </w:tc>
        <w:tc>
          <w:tcPr>
            <w:tcW w:w="1738" w:type="dxa"/>
          </w:tcPr>
          <w:p>
            <w:pPr>
              <w:pStyle w:val="32"/>
              <w:rPr>
                <w:color w:val="auto"/>
                <w:sz w:val="20"/>
              </w:rPr>
            </w:pPr>
          </w:p>
          <w:p>
            <w:pPr>
              <w:pStyle w:val="32"/>
              <w:spacing w:before="4"/>
              <w:rPr>
                <w:color w:val="auto"/>
                <w:sz w:val="14"/>
              </w:rPr>
            </w:pPr>
          </w:p>
          <w:p>
            <w:pPr>
              <w:pStyle w:val="32"/>
              <w:ind w:left="131"/>
              <w:rPr>
                <w:color w:val="auto"/>
                <w:sz w:val="21"/>
              </w:rPr>
            </w:pPr>
            <w:r>
              <w:rPr>
                <w:color w:val="auto"/>
                <w:sz w:val="21"/>
              </w:rPr>
              <w:t>投标人代表签名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9"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8" w:hRule="atLeast"/>
        </w:trPr>
        <w:tc>
          <w:tcPr>
            <w:tcW w:w="708" w:type="dxa"/>
          </w:tcPr>
          <w:p>
            <w:pPr>
              <w:pStyle w:val="32"/>
              <w:rPr>
                <w:rFonts w:ascii="Times New Roman"/>
                <w:color w:val="auto"/>
              </w:rPr>
            </w:pPr>
          </w:p>
        </w:tc>
        <w:tc>
          <w:tcPr>
            <w:tcW w:w="1440" w:type="dxa"/>
          </w:tcPr>
          <w:p>
            <w:pPr>
              <w:pStyle w:val="32"/>
              <w:rPr>
                <w:rFonts w:ascii="Times New Roman"/>
                <w:color w:val="auto"/>
              </w:rPr>
            </w:pPr>
          </w:p>
        </w:tc>
        <w:tc>
          <w:tcPr>
            <w:tcW w:w="1364" w:type="dxa"/>
          </w:tcPr>
          <w:p>
            <w:pPr>
              <w:pStyle w:val="32"/>
              <w:rPr>
                <w:rFonts w:ascii="Times New Roman"/>
                <w:color w:val="auto"/>
              </w:rPr>
            </w:pPr>
          </w:p>
        </w:tc>
        <w:tc>
          <w:tcPr>
            <w:tcW w:w="1561" w:type="dxa"/>
          </w:tcPr>
          <w:p>
            <w:pPr>
              <w:pStyle w:val="32"/>
              <w:rPr>
                <w:rFonts w:ascii="Times New Roman"/>
                <w:color w:val="auto"/>
              </w:rPr>
            </w:pPr>
          </w:p>
        </w:tc>
        <w:tc>
          <w:tcPr>
            <w:tcW w:w="1181" w:type="dxa"/>
          </w:tcPr>
          <w:p>
            <w:pPr>
              <w:pStyle w:val="32"/>
              <w:rPr>
                <w:rFonts w:ascii="Times New Roman"/>
                <w:color w:val="auto"/>
              </w:rPr>
            </w:pPr>
          </w:p>
        </w:tc>
        <w:tc>
          <w:tcPr>
            <w:tcW w:w="1008" w:type="dxa"/>
          </w:tcPr>
          <w:p>
            <w:pPr>
              <w:pStyle w:val="32"/>
              <w:rPr>
                <w:rFonts w:ascii="Times New Roman"/>
                <w:color w:val="auto"/>
              </w:rPr>
            </w:pPr>
          </w:p>
        </w:tc>
        <w:tc>
          <w:tcPr>
            <w:tcW w:w="1738" w:type="dxa"/>
          </w:tcPr>
          <w:p>
            <w:pPr>
              <w:pStyle w:val="32"/>
              <w:rPr>
                <w:rFonts w:ascii="Times New Roman"/>
                <w:color w:val="auto"/>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1" w:hRule="atLeast"/>
        </w:trPr>
        <w:tc>
          <w:tcPr>
            <w:tcW w:w="3512" w:type="dxa"/>
            <w:gridSpan w:val="3"/>
          </w:tcPr>
          <w:p>
            <w:pPr>
              <w:pStyle w:val="32"/>
              <w:spacing w:before="9"/>
              <w:rPr>
                <w:color w:val="auto"/>
                <w:sz w:val="20"/>
              </w:rPr>
            </w:pPr>
          </w:p>
          <w:p>
            <w:pPr>
              <w:pStyle w:val="32"/>
              <w:ind w:left="107"/>
              <w:rPr>
                <w:color w:val="auto"/>
                <w:sz w:val="21"/>
              </w:rPr>
            </w:pPr>
            <w:r>
              <w:rPr>
                <w:color w:val="auto"/>
                <w:sz w:val="21"/>
              </w:rPr>
              <w:t>招标人编制的最高投标限价（如有）</w:t>
            </w:r>
          </w:p>
        </w:tc>
        <w:tc>
          <w:tcPr>
            <w:tcW w:w="5488" w:type="dxa"/>
            <w:gridSpan w:val="4"/>
          </w:tcPr>
          <w:p>
            <w:pPr>
              <w:pStyle w:val="32"/>
              <w:rPr>
                <w:rFonts w:ascii="Times New Roman"/>
                <w:color w:val="auto"/>
              </w:rPr>
            </w:pPr>
          </w:p>
        </w:tc>
      </w:tr>
    </w:tbl>
    <w:p>
      <w:pPr>
        <w:pStyle w:val="13"/>
        <w:rPr>
          <w:color w:val="auto"/>
          <w:sz w:val="26"/>
        </w:rPr>
      </w:pPr>
    </w:p>
    <w:p>
      <w:pPr>
        <w:pStyle w:val="13"/>
        <w:rPr>
          <w:color w:val="auto"/>
          <w:sz w:val="26"/>
        </w:rPr>
      </w:pPr>
    </w:p>
    <w:p>
      <w:pPr>
        <w:pStyle w:val="13"/>
        <w:spacing w:before="8"/>
        <w:rPr>
          <w:color w:val="auto"/>
          <w:sz w:val="30"/>
        </w:rPr>
      </w:pPr>
    </w:p>
    <w:p>
      <w:pPr>
        <w:tabs>
          <w:tab w:val="left" w:pos="2763"/>
          <w:tab w:val="left" w:pos="6705"/>
          <w:tab w:val="left" w:pos="8928"/>
        </w:tabs>
        <w:ind w:left="90"/>
        <w:jc w:val="center"/>
        <w:rPr>
          <w:rFonts w:ascii="Times New Roman" w:eastAsia="Times New Roman"/>
          <w:color w:val="auto"/>
          <w:sz w:val="21"/>
        </w:rPr>
      </w:pPr>
      <w:r>
        <w:rPr>
          <w:color w:val="auto"/>
          <w:sz w:val="21"/>
        </w:rPr>
        <w:t>招标</w:t>
      </w:r>
      <w:r>
        <w:rPr>
          <w:color w:val="auto"/>
          <w:spacing w:val="-3"/>
          <w:sz w:val="21"/>
        </w:rPr>
        <w:t>人</w:t>
      </w:r>
      <w:r>
        <w:rPr>
          <w:color w:val="auto"/>
          <w:sz w:val="21"/>
        </w:rPr>
        <w:t>代</w:t>
      </w:r>
      <w:r>
        <w:rPr>
          <w:color w:val="auto"/>
          <w:spacing w:val="-3"/>
          <w:sz w:val="21"/>
        </w:rPr>
        <w:t>表</w:t>
      </w:r>
      <w:r>
        <w:rPr>
          <w:color w:val="auto"/>
          <w:sz w:val="21"/>
        </w:rPr>
        <w:t>：</w:t>
      </w:r>
      <w:r>
        <w:rPr>
          <w:color w:val="auto"/>
          <w:sz w:val="21"/>
          <w:u w:val="single"/>
        </w:rPr>
        <w:tab/>
      </w:r>
      <w:r>
        <w:rPr>
          <w:color w:val="auto"/>
          <w:sz w:val="21"/>
        </w:rPr>
        <w:tab/>
      </w:r>
      <w:r>
        <w:rPr>
          <w:color w:val="auto"/>
          <w:sz w:val="21"/>
        </w:rPr>
        <w:t>记</w:t>
      </w:r>
      <w:r>
        <w:rPr>
          <w:color w:val="auto"/>
          <w:spacing w:val="-3"/>
          <w:sz w:val="21"/>
        </w:rPr>
        <w:t>录人</w:t>
      </w:r>
      <w:r>
        <w:rPr>
          <w:color w:val="auto"/>
          <w:sz w:val="21"/>
        </w:rPr>
        <w:t>：</w:t>
      </w:r>
      <w:r>
        <w:rPr>
          <w:rFonts w:ascii="Times New Roman" w:eastAsia="Times New Roman"/>
          <w:color w:val="auto"/>
          <w:sz w:val="21"/>
          <w:u w:val="single"/>
        </w:rPr>
        <w:tab/>
      </w:r>
    </w:p>
    <w:p>
      <w:pPr>
        <w:pStyle w:val="13"/>
        <w:spacing w:before="3"/>
        <w:rPr>
          <w:rFonts w:ascii="Times New Roman"/>
          <w:color w:val="auto"/>
          <w:sz w:val="22"/>
        </w:rPr>
      </w:pPr>
    </w:p>
    <w:p>
      <w:pPr>
        <w:pStyle w:val="13"/>
        <w:tabs>
          <w:tab w:val="left" w:pos="959"/>
          <w:tab w:val="left" w:pos="1680"/>
          <w:tab w:val="left" w:pos="2400"/>
        </w:tabs>
        <w:spacing w:before="67"/>
        <w:ind w:right="324"/>
        <w:jc w:val="right"/>
        <w:rPr>
          <w:color w:val="auto"/>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jc w:val="right"/>
        <w:rPr>
          <w:color w:val="auto"/>
        </w:rPr>
        <w:sectPr>
          <w:pgSz w:w="11911" w:h="16838"/>
          <w:pgMar w:top="1247" w:right="1134" w:bottom="1247" w:left="1134" w:header="737" w:footer="850" w:gutter="0"/>
          <w:pgNumType w:fmt="numberInDash"/>
          <w:cols w:space="0" w:num="1"/>
          <w:rtlGutter w:val="0"/>
          <w:docGrid w:linePitch="0" w:charSpace="0"/>
        </w:sectPr>
      </w:pPr>
    </w:p>
    <w:p>
      <w:pPr>
        <w:pStyle w:val="13"/>
        <w:spacing w:before="108"/>
        <w:ind w:left="424"/>
        <w:rPr>
          <w:rFonts w:ascii="黑体" w:eastAsia="黑体"/>
          <w:color w:val="auto"/>
        </w:rPr>
      </w:pPr>
      <w:bookmarkStart w:id="0" w:name="_bookmark88"/>
      <w:bookmarkEnd w:id="0"/>
    </w:p>
    <w:p>
      <w:pPr>
        <w:pStyle w:val="13"/>
        <w:spacing w:before="108"/>
        <w:ind w:left="424"/>
        <w:rPr>
          <w:rFonts w:ascii="黑体" w:eastAsia="黑体"/>
          <w:color w:val="auto"/>
        </w:rPr>
      </w:pPr>
      <w:r>
        <w:rPr>
          <w:rFonts w:hint="eastAsia" w:ascii="黑体" w:eastAsia="黑体"/>
          <w:color w:val="auto"/>
        </w:rPr>
        <w:t>附件二问题澄清通知</w:t>
      </w:r>
    </w:p>
    <w:p>
      <w:pPr>
        <w:pStyle w:val="13"/>
        <w:rPr>
          <w:rFonts w:ascii="黑体"/>
          <w:color w:val="auto"/>
          <w:sz w:val="20"/>
        </w:rPr>
      </w:pPr>
    </w:p>
    <w:p>
      <w:pPr>
        <w:pStyle w:val="13"/>
        <w:spacing w:before="7"/>
        <w:rPr>
          <w:rFonts w:ascii="黑体"/>
          <w:color w:val="auto"/>
          <w:sz w:val="15"/>
        </w:rPr>
      </w:pPr>
    </w:p>
    <w:p>
      <w:pPr>
        <w:spacing w:before="61"/>
        <w:ind w:left="1098" w:right="1059"/>
        <w:jc w:val="center"/>
        <w:rPr>
          <w:rFonts w:ascii="黑体" w:eastAsia="黑体"/>
          <w:color w:val="auto"/>
          <w:sz w:val="28"/>
        </w:rPr>
      </w:pPr>
      <w:r>
        <w:rPr>
          <w:rFonts w:hint="eastAsia" w:ascii="黑体" w:eastAsia="黑体"/>
          <w:color w:val="auto"/>
          <w:sz w:val="28"/>
        </w:rPr>
        <w:t>问题澄清通知</w:t>
      </w:r>
    </w:p>
    <w:p>
      <w:pPr>
        <w:tabs>
          <w:tab w:val="left" w:pos="2975"/>
        </w:tabs>
        <w:spacing w:before="151"/>
        <w:ind w:left="37"/>
        <w:jc w:val="center"/>
        <w:rPr>
          <w:color w:val="auto"/>
          <w:sz w:val="21"/>
        </w:rPr>
      </w:pPr>
      <w:r>
        <w:rPr>
          <w:color w:val="auto"/>
          <w:sz w:val="21"/>
        </w:rPr>
        <w:t>（编</w:t>
      </w:r>
      <w:r>
        <w:rPr>
          <w:color w:val="auto"/>
          <w:spacing w:val="-3"/>
          <w:sz w:val="21"/>
        </w:rPr>
        <w:t>号</w:t>
      </w:r>
      <w:r>
        <w:rPr>
          <w:color w:val="auto"/>
          <w:sz w:val="21"/>
        </w:rPr>
        <w:t>：</w:t>
      </w:r>
      <w:r>
        <w:rPr>
          <w:color w:val="auto"/>
          <w:sz w:val="21"/>
          <w:u w:val="single"/>
        </w:rPr>
        <w:tab/>
      </w:r>
      <w:r>
        <w:rPr>
          <w:color w:val="auto"/>
          <w:sz w:val="21"/>
        </w:rPr>
        <w:t>）</w:t>
      </w:r>
    </w:p>
    <w:p>
      <w:pPr>
        <w:pStyle w:val="13"/>
        <w:rPr>
          <w:color w:val="auto"/>
          <w:sz w:val="20"/>
        </w:rPr>
      </w:pPr>
    </w:p>
    <w:p>
      <w:pPr>
        <w:pStyle w:val="13"/>
        <w:rPr>
          <w:color w:val="auto"/>
          <w:sz w:val="20"/>
        </w:rPr>
      </w:pPr>
    </w:p>
    <w:p>
      <w:pPr>
        <w:pStyle w:val="13"/>
        <w:rPr>
          <w:color w:val="auto"/>
          <w:sz w:val="20"/>
        </w:rPr>
      </w:pPr>
    </w:p>
    <w:p>
      <w:pPr>
        <w:pStyle w:val="13"/>
        <w:spacing w:before="8"/>
        <w:rPr>
          <w:color w:val="auto"/>
          <w:sz w:val="19"/>
        </w:rPr>
      </w:pPr>
    </w:p>
    <w:p>
      <w:pPr>
        <w:pStyle w:val="13"/>
        <w:tabs>
          <w:tab w:val="left" w:pos="2224"/>
        </w:tabs>
        <w:spacing w:before="74"/>
        <w:ind w:left="424"/>
        <w:rPr>
          <w:rFonts w:hint="eastAsia" w:eastAsia="宋体"/>
          <w:color w:val="auto"/>
          <w:lang w:eastAsia="zh-CN"/>
        </w:rPr>
      </w:pPr>
      <w:r>
        <w:rPr>
          <w:rFonts w:ascii="Times New Roman" w:eastAsia="Times New Roman"/>
          <w:color w:val="auto"/>
          <w:u w:val="single"/>
        </w:rPr>
        <w:tab/>
      </w:r>
      <w:r>
        <w:rPr>
          <w:color w:val="auto"/>
        </w:rPr>
        <w:t>（投标人名称</w:t>
      </w:r>
      <w:r>
        <w:rPr>
          <w:color w:val="auto"/>
          <w:spacing w:val="-120"/>
        </w:rPr>
        <w:t>）</w:t>
      </w:r>
      <w:r>
        <w:rPr>
          <w:rFonts w:hint="eastAsia"/>
          <w:color w:val="auto"/>
          <w:lang w:eastAsia="zh-CN"/>
        </w:rPr>
        <w:t>）：</w:t>
      </w:r>
    </w:p>
    <w:p>
      <w:pPr>
        <w:pStyle w:val="13"/>
        <w:rPr>
          <w:color w:val="auto"/>
          <w:sz w:val="26"/>
        </w:rPr>
      </w:pPr>
    </w:p>
    <w:p>
      <w:pPr>
        <w:pStyle w:val="13"/>
        <w:spacing w:before="7"/>
        <w:rPr>
          <w:color w:val="auto"/>
          <w:sz w:val="6"/>
          <w:szCs w:val="10"/>
        </w:rPr>
      </w:pPr>
    </w:p>
    <w:p>
      <w:pPr>
        <w:pStyle w:val="13"/>
        <w:tabs>
          <w:tab w:val="left" w:pos="1146"/>
          <w:tab w:val="left" w:pos="2956"/>
          <w:tab w:val="left" w:pos="5486"/>
        </w:tabs>
        <w:spacing w:line="345" w:lineRule="auto"/>
        <w:ind w:left="424" w:right="262"/>
        <w:rPr>
          <w:color w:val="auto"/>
        </w:rPr>
      </w:pPr>
      <w:r>
        <w:rPr>
          <w:color w:val="auto"/>
        </w:rPr>
        <w:tab/>
      </w:r>
      <w:r>
        <w:rPr>
          <w:color w:val="auto"/>
          <w:u w:val="single"/>
        </w:rPr>
        <w:tab/>
      </w:r>
      <w:r>
        <w:rPr>
          <w:color w:val="auto"/>
        </w:rPr>
        <w:t>（项目名称）</w:t>
      </w:r>
      <w:r>
        <w:rPr>
          <w:color w:val="auto"/>
          <w:u w:val="single"/>
        </w:rPr>
        <w:tab/>
      </w:r>
      <w:r>
        <w:rPr>
          <w:color w:val="auto"/>
        </w:rPr>
        <w:t>标段施工招标的评标委员会，对你方的投标文件进行了仔细的审查</w:t>
      </w:r>
      <w:r>
        <w:rPr>
          <w:color w:val="auto"/>
          <w:spacing w:val="-84"/>
        </w:rPr>
        <w:t>，</w:t>
      </w:r>
      <w:r>
        <w:rPr>
          <w:color w:val="auto"/>
        </w:rPr>
        <w:t>现需你方对下列问题以书面形式予以澄清或说明</w:t>
      </w:r>
      <w:r>
        <w:rPr>
          <w:color w:val="auto"/>
          <w:spacing w:val="-16"/>
        </w:rPr>
        <w:t>：</w:t>
      </w:r>
    </w:p>
    <w:p>
      <w:pPr>
        <w:pStyle w:val="13"/>
        <w:spacing w:line="303" w:lineRule="exact"/>
        <w:ind w:left="424"/>
        <w:rPr>
          <w:rFonts w:hint="eastAsia" w:eastAsia="宋体"/>
          <w:color w:val="auto"/>
          <w:lang w:eastAsia="zh-CN"/>
        </w:rPr>
      </w:pPr>
    </w:p>
    <w:p>
      <w:pPr>
        <w:pStyle w:val="13"/>
        <w:spacing w:before="148"/>
        <w:ind w:left="904"/>
        <w:rPr>
          <w:rFonts w:ascii="Times New Roman"/>
          <w:color w:val="auto"/>
        </w:rPr>
      </w:pPr>
      <w:r>
        <w:rPr>
          <w:rFonts w:ascii="Times New Roman"/>
          <w:color w:val="auto"/>
        </w:rPr>
        <w:t>1.</w:t>
      </w:r>
    </w:p>
    <w:p>
      <w:pPr>
        <w:pStyle w:val="13"/>
        <w:spacing w:before="166"/>
        <w:ind w:left="904"/>
        <w:rPr>
          <w:rFonts w:ascii="Times New Roman"/>
          <w:color w:val="auto"/>
        </w:rPr>
      </w:pPr>
      <w:r>
        <w:rPr>
          <w:rFonts w:ascii="Times New Roman"/>
          <w:color w:val="auto"/>
        </w:rPr>
        <w:t>2.</w:t>
      </w:r>
    </w:p>
    <w:p>
      <w:pPr>
        <w:pStyle w:val="13"/>
        <w:spacing w:before="163"/>
        <w:ind w:left="1024"/>
        <w:rPr>
          <w:rFonts w:ascii="Times New Roman"/>
          <w:color w:val="auto"/>
        </w:rPr>
      </w:pPr>
      <w:r>
        <w:rPr>
          <w:rFonts w:ascii="Times New Roman"/>
          <w:color w:val="auto"/>
        </w:rPr>
        <w:t>......</w:t>
      </w:r>
    </w:p>
    <w:p>
      <w:pPr>
        <w:pStyle w:val="13"/>
        <w:spacing w:before="147"/>
        <w:ind w:left="424"/>
        <w:jc w:val="both"/>
        <w:rPr>
          <w:rFonts w:hint="eastAsia" w:eastAsia="宋体"/>
          <w:color w:val="auto"/>
          <w:lang w:eastAsia="zh-CN"/>
        </w:rPr>
      </w:pPr>
    </w:p>
    <w:p>
      <w:pPr>
        <w:pStyle w:val="13"/>
        <w:tabs>
          <w:tab w:val="left" w:pos="3127"/>
          <w:tab w:val="left" w:pos="8621"/>
        </w:tabs>
        <w:spacing w:before="135" w:line="343" w:lineRule="auto"/>
        <w:ind w:left="424" w:right="382"/>
        <w:jc w:val="both"/>
        <w:rPr>
          <w:color w:val="auto"/>
        </w:rPr>
      </w:pPr>
      <w:r>
        <w:rPr>
          <w:color w:val="auto"/>
        </w:rPr>
        <w:t>请将上述问题的澄清或说明于年月日时分前递交至</w:t>
      </w:r>
      <w:r>
        <w:rPr>
          <w:color w:val="auto"/>
          <w:u w:val="single"/>
        </w:rPr>
        <w:t>（</w:t>
      </w:r>
      <w:r>
        <w:rPr>
          <w:color w:val="auto"/>
          <w:spacing w:val="-15"/>
        </w:rPr>
        <w:t>详</w:t>
      </w:r>
      <w:r>
        <w:rPr>
          <w:color w:val="auto"/>
        </w:rPr>
        <w:t>细地址</w:t>
      </w:r>
      <w:r>
        <w:rPr>
          <w:color w:val="auto"/>
          <w:spacing w:val="-29"/>
        </w:rPr>
        <w:t>）</w:t>
      </w:r>
      <w:r>
        <w:rPr>
          <w:color w:val="auto"/>
        </w:rPr>
        <w:t>或传真至</w:t>
      </w:r>
      <w:r>
        <w:rPr>
          <w:color w:val="auto"/>
          <w:u w:val="single"/>
        </w:rPr>
        <w:tab/>
      </w:r>
      <w:r>
        <w:rPr>
          <w:color w:val="auto"/>
        </w:rPr>
        <w:t>（传真号码</w:t>
      </w:r>
      <w:r>
        <w:rPr>
          <w:color w:val="auto"/>
          <w:spacing w:val="-29"/>
        </w:rPr>
        <w:t>）</w:t>
      </w:r>
      <w:r>
        <w:rPr>
          <w:color w:val="auto"/>
        </w:rPr>
        <w:t>或通过下载招标文件的电子招标交易平台</w:t>
      </w:r>
      <w:r>
        <w:rPr>
          <w:color w:val="auto"/>
          <w:spacing w:val="-14"/>
        </w:rPr>
        <w:t>上</w:t>
      </w:r>
      <w:r>
        <w:rPr>
          <w:color w:val="auto"/>
        </w:rPr>
        <w:t>传</w:t>
      </w:r>
      <w:r>
        <w:rPr>
          <w:color w:val="auto"/>
          <w:spacing w:val="-108"/>
        </w:rPr>
        <w:t>。</w:t>
      </w:r>
      <w:r>
        <w:rPr>
          <w:color w:val="auto"/>
        </w:rPr>
        <w:t>采用传真方式的</w:t>
      </w:r>
      <w:r>
        <w:rPr>
          <w:color w:val="auto"/>
          <w:spacing w:val="-108"/>
        </w:rPr>
        <w:t>，</w:t>
      </w:r>
      <w:r>
        <w:rPr>
          <w:color w:val="auto"/>
        </w:rPr>
        <w:t>应在年月日时分前将原件递交至</w:t>
      </w:r>
      <w:r>
        <w:rPr>
          <w:color w:val="auto"/>
          <w:u w:val="single"/>
        </w:rPr>
        <w:tab/>
      </w:r>
      <w:r>
        <w:rPr>
          <w:color w:val="auto"/>
          <w:u w:val="single"/>
        </w:rPr>
        <w:t>（</w:t>
      </w:r>
      <w:r>
        <w:rPr>
          <w:color w:val="auto"/>
          <w:spacing w:val="-17"/>
        </w:rPr>
        <w:t>详</w:t>
      </w:r>
      <w:r>
        <w:rPr>
          <w:color w:val="auto"/>
        </w:rPr>
        <w:t>细地址</w:t>
      </w:r>
      <w:r>
        <w:rPr>
          <w:color w:val="auto"/>
          <w:spacing w:val="-120"/>
        </w:rPr>
        <w:t>）</w:t>
      </w:r>
      <w:r>
        <w:rPr>
          <w:color w:val="auto"/>
        </w:rPr>
        <w:t>。</w:t>
      </w:r>
    </w:p>
    <w:p>
      <w:pPr>
        <w:pStyle w:val="13"/>
        <w:rPr>
          <w:color w:val="auto"/>
        </w:rPr>
      </w:pPr>
    </w:p>
    <w:p>
      <w:pPr>
        <w:pStyle w:val="13"/>
        <w:rPr>
          <w:color w:val="auto"/>
        </w:rPr>
      </w:pPr>
    </w:p>
    <w:p>
      <w:pPr>
        <w:pStyle w:val="13"/>
        <w:spacing w:before="9"/>
        <w:rPr>
          <w:color w:val="auto"/>
          <w:sz w:val="20"/>
        </w:rPr>
      </w:pPr>
    </w:p>
    <w:p>
      <w:pPr>
        <w:pStyle w:val="13"/>
        <w:tabs>
          <w:tab w:val="left" w:pos="6941"/>
        </w:tabs>
        <w:ind w:left="1420"/>
        <w:rPr>
          <w:color w:val="auto"/>
        </w:rPr>
      </w:pPr>
      <w:r>
        <w:rPr>
          <w:color w:val="auto"/>
        </w:rPr>
        <w:t>评标委员会授权的招标人或招标代理机构：</w:t>
      </w:r>
      <w:r>
        <w:rPr>
          <w:color w:val="auto"/>
          <w:u w:val="single"/>
        </w:rPr>
        <w:tab/>
      </w:r>
      <w:r>
        <w:rPr>
          <w:color w:val="auto"/>
        </w:rPr>
        <w:t>（签字或盖单位章）</w:t>
      </w:r>
    </w:p>
    <w:p>
      <w:pPr>
        <w:pStyle w:val="13"/>
        <w:rPr>
          <w:color w:val="auto"/>
          <w:sz w:val="20"/>
        </w:rPr>
      </w:pPr>
    </w:p>
    <w:p>
      <w:pPr>
        <w:pStyle w:val="13"/>
        <w:spacing w:before="6"/>
        <w:rPr>
          <w:color w:val="auto"/>
          <w:sz w:val="19"/>
        </w:rPr>
      </w:pPr>
    </w:p>
    <w:p>
      <w:pPr>
        <w:pStyle w:val="13"/>
        <w:tabs>
          <w:tab w:val="left" w:pos="6382"/>
          <w:tab w:val="left" w:pos="7102"/>
          <w:tab w:val="left" w:pos="7822"/>
        </w:tabs>
        <w:spacing w:before="66"/>
        <w:ind w:left="5422"/>
        <w:rPr>
          <w:color w:val="auto"/>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rPr>
          <w:color w:val="auto"/>
        </w:rPr>
        <w:sectPr>
          <w:footerReference r:id="rId14" w:type="default"/>
          <w:headerReference r:id="rId13" w:type="even"/>
          <w:footerReference r:id="rId15" w:type="even"/>
          <w:pgSz w:w="11911" w:h="16838"/>
          <w:pgMar w:top="1247" w:right="1134" w:bottom="1247" w:left="1134" w:header="737" w:footer="850" w:gutter="0"/>
          <w:pgNumType w:fmt="numberInDash"/>
          <w:cols w:space="0" w:num="1"/>
          <w:rtlGutter w:val="0"/>
          <w:docGrid w:linePitch="0" w:charSpace="0"/>
        </w:sectPr>
      </w:pPr>
    </w:p>
    <w:p>
      <w:pPr>
        <w:pStyle w:val="13"/>
        <w:spacing w:before="108"/>
        <w:ind w:left="424"/>
        <w:rPr>
          <w:rFonts w:ascii="黑体" w:eastAsia="黑体"/>
          <w:color w:val="auto"/>
        </w:rPr>
      </w:pPr>
      <w:bookmarkStart w:id="1" w:name="_bookmark89"/>
      <w:bookmarkEnd w:id="1"/>
    </w:p>
    <w:p>
      <w:pPr>
        <w:pStyle w:val="13"/>
        <w:spacing w:before="108"/>
        <w:ind w:left="424"/>
        <w:rPr>
          <w:rFonts w:ascii="黑体" w:eastAsia="黑体"/>
          <w:color w:val="auto"/>
        </w:rPr>
      </w:pPr>
      <w:r>
        <w:rPr>
          <w:rFonts w:hint="eastAsia" w:ascii="黑体" w:eastAsia="黑体"/>
          <w:color w:val="auto"/>
        </w:rPr>
        <w:t>附件三问题的澄清</w:t>
      </w:r>
    </w:p>
    <w:p>
      <w:pPr>
        <w:tabs>
          <w:tab w:val="left" w:pos="8580"/>
        </w:tabs>
        <w:spacing w:before="1"/>
        <w:ind w:right="-37"/>
        <w:jc w:val="center"/>
        <w:rPr>
          <w:rFonts w:ascii="黑体" w:eastAsia="黑体"/>
          <w:color w:val="auto"/>
          <w:sz w:val="28"/>
        </w:rPr>
      </w:pPr>
    </w:p>
    <w:p>
      <w:pPr>
        <w:spacing w:before="1" w:line="360" w:lineRule="auto"/>
        <w:ind w:right="-37"/>
        <w:jc w:val="center"/>
        <w:rPr>
          <w:rFonts w:ascii="黑体" w:eastAsia="黑体"/>
          <w:color w:val="auto"/>
          <w:sz w:val="28"/>
        </w:rPr>
      </w:pPr>
      <w:r>
        <w:rPr>
          <w:rFonts w:hint="eastAsia" w:ascii="黑体" w:eastAsia="黑体"/>
          <w:color w:val="auto"/>
          <w:sz w:val="28"/>
        </w:rPr>
        <w:t>问题的澄清</w:t>
      </w:r>
    </w:p>
    <w:p>
      <w:pPr>
        <w:spacing w:line="360" w:lineRule="auto"/>
        <w:jc w:val="center"/>
        <w:rPr>
          <w:color w:val="auto"/>
        </w:rPr>
      </w:pPr>
      <w:r>
        <w:rPr>
          <w:color w:val="auto"/>
        </w:rPr>
        <w:t>（编号：</w:t>
      </w:r>
      <w:r>
        <w:rPr>
          <w:color w:val="auto"/>
          <w:u w:val="single"/>
        </w:rPr>
        <w:tab/>
      </w:r>
      <w:r>
        <w:rPr>
          <w:color w:val="auto"/>
        </w:rPr>
        <w:t>）</w:t>
      </w:r>
    </w:p>
    <w:p>
      <w:pPr>
        <w:spacing w:line="360" w:lineRule="auto"/>
        <w:jc w:val="center"/>
        <w:rPr>
          <w:color w:val="auto"/>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spacing w:before="6"/>
        <w:rPr>
          <w:color w:val="auto"/>
          <w:sz w:val="19"/>
        </w:rPr>
      </w:pPr>
    </w:p>
    <w:p>
      <w:pPr>
        <w:pStyle w:val="13"/>
        <w:tabs>
          <w:tab w:val="left" w:pos="2584"/>
          <w:tab w:val="left" w:pos="5104"/>
        </w:tabs>
        <w:spacing w:before="74"/>
        <w:ind w:left="424"/>
        <w:rPr>
          <w:color w:val="auto"/>
        </w:rPr>
      </w:pPr>
      <w:r>
        <w:rPr>
          <w:rFonts w:ascii="Times New Roman" w:eastAsia="Times New Roman"/>
          <w:color w:val="auto"/>
          <w:u w:val="single"/>
        </w:rPr>
        <w:tab/>
      </w:r>
      <w:r>
        <w:rPr>
          <w:color w:val="auto"/>
          <w:u w:val="single"/>
        </w:rPr>
        <w:t>（</w:t>
      </w:r>
      <w:r>
        <w:rPr>
          <w:color w:val="auto"/>
        </w:rPr>
        <w:t>项目名称）</w:t>
      </w:r>
      <w:r>
        <w:rPr>
          <w:color w:val="auto"/>
          <w:u w:val="single"/>
        </w:rPr>
        <w:tab/>
      </w:r>
      <w:r>
        <w:rPr>
          <w:color w:val="auto"/>
        </w:rPr>
        <w:t>标段施工招标评标委员会：</w:t>
      </w:r>
    </w:p>
    <w:p>
      <w:pPr>
        <w:pStyle w:val="13"/>
        <w:rPr>
          <w:color w:val="auto"/>
          <w:sz w:val="26"/>
        </w:rPr>
      </w:pPr>
    </w:p>
    <w:p>
      <w:pPr>
        <w:pStyle w:val="13"/>
        <w:rPr>
          <w:color w:val="auto"/>
          <w:sz w:val="26"/>
        </w:rPr>
      </w:pPr>
    </w:p>
    <w:p>
      <w:pPr>
        <w:pStyle w:val="13"/>
        <w:spacing w:before="1"/>
        <w:rPr>
          <w:color w:val="auto"/>
          <w:sz w:val="27"/>
        </w:rPr>
      </w:pPr>
    </w:p>
    <w:p>
      <w:pPr>
        <w:pStyle w:val="13"/>
        <w:tabs>
          <w:tab w:val="left" w:pos="3360"/>
        </w:tabs>
        <w:ind w:right="954"/>
        <w:jc w:val="center"/>
        <w:rPr>
          <w:color w:val="auto"/>
        </w:rPr>
      </w:pPr>
      <w:r>
        <w:rPr>
          <w:color w:val="auto"/>
        </w:rPr>
        <w:t>问题澄清通知（编号：</w:t>
      </w:r>
      <w:r>
        <w:rPr>
          <w:color w:val="auto"/>
          <w:u w:val="single"/>
        </w:rPr>
        <w:tab/>
      </w:r>
      <w:r>
        <w:rPr>
          <w:color w:val="auto"/>
        </w:rPr>
        <w:t>）已收悉，现澄清、说明如下：</w:t>
      </w:r>
    </w:p>
    <w:p>
      <w:pPr>
        <w:pStyle w:val="13"/>
        <w:tabs>
          <w:tab w:val="left" w:pos="1264"/>
        </w:tabs>
        <w:spacing w:before="150"/>
        <w:ind w:left="424"/>
        <w:rPr>
          <w:rFonts w:ascii="Times New Roman"/>
          <w:color w:val="auto"/>
        </w:rPr>
      </w:pPr>
      <w:r>
        <w:rPr>
          <w:color w:val="auto"/>
        </w:rPr>
        <w:tab/>
      </w:r>
      <w:r>
        <w:rPr>
          <w:rFonts w:ascii="Times New Roman"/>
          <w:color w:val="auto"/>
        </w:rPr>
        <w:t>1.</w:t>
      </w:r>
    </w:p>
    <w:p>
      <w:pPr>
        <w:pStyle w:val="13"/>
        <w:tabs>
          <w:tab w:val="left" w:pos="1264"/>
        </w:tabs>
        <w:spacing w:before="163"/>
        <w:ind w:left="424"/>
        <w:rPr>
          <w:rFonts w:ascii="Times New Roman"/>
          <w:color w:val="auto"/>
        </w:rPr>
      </w:pPr>
      <w:r>
        <w:rPr>
          <w:color w:val="auto"/>
        </w:rPr>
        <w:tab/>
      </w:r>
      <w:r>
        <w:rPr>
          <w:rFonts w:ascii="Times New Roman"/>
          <w:color w:val="auto"/>
        </w:rPr>
        <w:t>2.</w:t>
      </w:r>
    </w:p>
    <w:p>
      <w:pPr>
        <w:pStyle w:val="13"/>
        <w:spacing w:before="147"/>
        <w:ind w:left="424"/>
        <w:rPr>
          <w:rFonts w:hint="eastAsia" w:eastAsia="宋体"/>
          <w:color w:val="auto"/>
          <w:lang w:eastAsia="zh-CN"/>
        </w:rPr>
      </w:pPr>
    </w:p>
    <w:p>
      <w:pPr>
        <w:pStyle w:val="13"/>
        <w:tabs>
          <w:tab w:val="left" w:pos="1144"/>
        </w:tabs>
        <w:spacing w:before="151"/>
        <w:ind w:left="424"/>
        <w:rPr>
          <w:rFonts w:ascii="Times New Roman"/>
          <w:color w:val="auto"/>
        </w:rPr>
      </w:pPr>
      <w:r>
        <w:rPr>
          <w:color w:val="auto"/>
        </w:rPr>
        <w:tab/>
      </w:r>
      <w:r>
        <w:rPr>
          <w:rFonts w:ascii="Times New Roman"/>
          <w:color w:val="auto"/>
        </w:rPr>
        <w:t>.....</w:t>
      </w: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spacing w:before="9"/>
        <w:rPr>
          <w:rFonts w:ascii="Times New Roman"/>
          <w:color w:val="auto"/>
        </w:rPr>
      </w:pPr>
    </w:p>
    <w:p>
      <w:pPr>
        <w:pStyle w:val="13"/>
        <w:spacing w:before="67" w:line="343" w:lineRule="auto"/>
        <w:ind w:left="424" w:right="390" w:firstLine="479"/>
        <w:rPr>
          <w:color w:val="auto"/>
        </w:rPr>
      </w:pPr>
      <w:r>
        <w:rPr>
          <w:color w:val="auto"/>
        </w:rPr>
        <w:t>上述问题澄清或说明，不改变我方投标文件的实质性内容，构成我方投标文件的组成部分。</w:t>
      </w:r>
    </w:p>
    <w:p>
      <w:pPr>
        <w:pStyle w:val="13"/>
        <w:rPr>
          <w:color w:val="auto"/>
        </w:rPr>
      </w:pPr>
    </w:p>
    <w:p>
      <w:pPr>
        <w:pStyle w:val="13"/>
        <w:rPr>
          <w:color w:val="auto"/>
        </w:rPr>
      </w:pPr>
    </w:p>
    <w:p>
      <w:pPr>
        <w:pStyle w:val="13"/>
        <w:spacing w:before="8"/>
        <w:rPr>
          <w:color w:val="auto"/>
          <w:sz w:val="20"/>
        </w:rPr>
      </w:pPr>
    </w:p>
    <w:p>
      <w:pPr>
        <w:pStyle w:val="13"/>
        <w:tabs>
          <w:tab w:val="left" w:pos="7567"/>
        </w:tabs>
        <w:spacing w:line="360" w:lineRule="auto"/>
        <w:ind w:left="424"/>
        <w:rPr>
          <w:color w:val="auto"/>
          <w:sz w:val="12"/>
        </w:rPr>
      </w:pPr>
      <w:r>
        <w:rPr>
          <w:color w:val="auto"/>
        </w:rPr>
        <w:t>投标人</w:t>
      </w:r>
      <w:r>
        <w:rPr>
          <w:color w:val="auto"/>
          <w:spacing w:val="-29"/>
        </w:rPr>
        <w:t>：</w:t>
      </w:r>
      <w:r>
        <w:rPr>
          <w:color w:val="auto"/>
          <w:spacing w:val="-29"/>
          <w:u w:val="single"/>
        </w:rPr>
        <w:tab/>
      </w:r>
      <w:r>
        <w:rPr>
          <w:color w:val="auto"/>
        </w:rPr>
        <w:t>（盖单位章</w:t>
      </w:r>
      <w:r>
        <w:rPr>
          <w:color w:val="auto"/>
          <w:spacing w:val="-14"/>
        </w:rPr>
        <w:t>）</w:t>
      </w:r>
      <w:r>
        <w:rPr>
          <w:color w:val="auto"/>
          <w:spacing w:val="-14"/>
          <w:position w:val="11"/>
          <w:sz w:val="12"/>
        </w:rPr>
        <w:t>①</w:t>
      </w:r>
    </w:p>
    <w:p>
      <w:pPr>
        <w:pStyle w:val="13"/>
        <w:tabs>
          <w:tab w:val="left" w:pos="8259"/>
        </w:tabs>
        <w:spacing w:before="134" w:line="360" w:lineRule="auto"/>
        <w:ind w:left="424"/>
        <w:rPr>
          <w:color w:val="auto"/>
        </w:rPr>
      </w:pPr>
      <w:r>
        <w:rPr>
          <w:color w:val="auto"/>
        </w:rPr>
        <w:t>法定代表人或其委托代理人</w:t>
      </w:r>
      <w:r>
        <w:rPr>
          <w:color w:val="auto"/>
          <w:u w:val="single"/>
        </w:rPr>
        <w:t>：</w:t>
      </w:r>
      <w:r>
        <w:rPr>
          <w:color w:val="auto"/>
          <w:u w:val="single"/>
        </w:rPr>
        <w:tab/>
      </w:r>
      <w:r>
        <w:rPr>
          <w:color w:val="auto"/>
          <w:u w:val="single"/>
        </w:rPr>
        <w:t>（</w:t>
      </w:r>
      <w:r>
        <w:rPr>
          <w:color w:val="auto"/>
        </w:rPr>
        <w:t>签字）</w:t>
      </w:r>
    </w:p>
    <w:p>
      <w:pPr>
        <w:pStyle w:val="13"/>
        <w:spacing w:before="133"/>
        <w:ind w:left="424"/>
        <w:rPr>
          <w:rFonts w:hint="eastAsia" w:eastAsia="宋体"/>
          <w:color w:val="auto"/>
          <w:lang w:eastAsia="zh-CN"/>
        </w:rPr>
      </w:pPr>
    </w:p>
    <w:p>
      <w:pPr>
        <w:pStyle w:val="13"/>
        <w:tabs>
          <w:tab w:val="left" w:pos="5345"/>
          <w:tab w:val="left" w:pos="6305"/>
          <w:tab w:val="left" w:pos="7025"/>
          <w:tab w:val="left" w:pos="7745"/>
        </w:tabs>
        <w:spacing w:before="131"/>
        <w:ind w:left="424"/>
        <w:rPr>
          <w:color w:val="auto"/>
        </w:rPr>
      </w:pPr>
      <w:r>
        <w:rPr>
          <w:color w:val="auto"/>
        </w:rPr>
        <w:tab/>
      </w: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2"/>
        <w:rPr>
          <w:color w:val="auto"/>
          <w:sz w:val="22"/>
        </w:rPr>
      </w:pPr>
    </w:p>
    <w:p>
      <w:pPr>
        <w:spacing w:before="129"/>
        <w:ind w:left="424"/>
        <w:rPr>
          <w:color w:val="auto"/>
          <w:sz w:val="18"/>
        </w:rPr>
      </w:pPr>
      <w:r>
        <w:rPr>
          <w:color w:val="auto"/>
          <w:position w:val="9"/>
          <w:sz w:val="9"/>
        </w:rPr>
        <w:t>①</w:t>
      </w:r>
      <w:r>
        <w:rPr>
          <w:color w:val="auto"/>
          <w:sz w:val="18"/>
        </w:rPr>
        <w:t>投标人仅须在投标文件的澄清或说明上加盖单位章，或由法定代表人或其委托代理人签字。</w:t>
      </w:r>
    </w:p>
    <w:p>
      <w:pPr>
        <w:rPr>
          <w:color w:val="auto"/>
          <w:sz w:val="18"/>
        </w:rPr>
        <w:sectPr>
          <w:type w:val="continuous"/>
          <w:pgSz w:w="11911" w:h="16838"/>
          <w:pgMar w:top="1247" w:right="1134" w:bottom="1247" w:left="1134" w:header="737" w:footer="850" w:gutter="0"/>
          <w:pgNumType w:fmt="numberInDash"/>
          <w:cols w:space="0" w:num="1"/>
          <w:rtlGutter w:val="0"/>
          <w:docGrid w:linePitch="0" w:charSpace="0"/>
        </w:sectPr>
      </w:pPr>
    </w:p>
    <w:p>
      <w:pPr>
        <w:pStyle w:val="13"/>
        <w:spacing w:before="108"/>
        <w:ind w:left="424"/>
        <w:rPr>
          <w:rFonts w:ascii="黑体" w:eastAsia="黑体"/>
          <w:color w:val="auto"/>
        </w:rPr>
      </w:pPr>
      <w:bookmarkStart w:id="2" w:name="_bookmark90"/>
      <w:bookmarkEnd w:id="2"/>
    </w:p>
    <w:p>
      <w:pPr>
        <w:pStyle w:val="13"/>
        <w:spacing w:before="108"/>
        <w:ind w:left="424"/>
        <w:rPr>
          <w:rFonts w:hint="eastAsia" w:ascii="黑体" w:eastAsia="黑体"/>
          <w:color w:val="auto"/>
          <w:lang w:eastAsia="zh-CN"/>
        </w:rPr>
      </w:pPr>
      <w:r>
        <w:rPr>
          <w:rFonts w:hint="eastAsia" w:ascii="黑体" w:eastAsia="黑体"/>
          <w:color w:val="auto"/>
        </w:rPr>
        <w:t>附件四中标通知书</w:t>
      </w:r>
      <w:r>
        <w:rPr>
          <w:rFonts w:hint="eastAsia" w:ascii="黑体" w:eastAsia="黑体"/>
          <w:color w:val="auto"/>
          <w:lang w:eastAsia="zh-CN"/>
        </w:rPr>
        <w:t>（格式可调整）</w:t>
      </w:r>
    </w:p>
    <w:p>
      <w:pPr>
        <w:pStyle w:val="13"/>
        <w:rPr>
          <w:rFonts w:ascii="黑体"/>
          <w:color w:val="auto"/>
          <w:sz w:val="20"/>
        </w:rPr>
      </w:pPr>
    </w:p>
    <w:p>
      <w:pPr>
        <w:pStyle w:val="13"/>
        <w:spacing w:before="7"/>
        <w:rPr>
          <w:rFonts w:ascii="黑体"/>
          <w:color w:val="auto"/>
          <w:sz w:val="15"/>
        </w:rPr>
      </w:pPr>
    </w:p>
    <w:p>
      <w:pPr>
        <w:spacing w:before="61"/>
        <w:ind w:left="1098" w:right="1052"/>
        <w:jc w:val="center"/>
        <w:rPr>
          <w:rFonts w:ascii="黑体" w:eastAsia="黑体"/>
          <w:color w:val="auto"/>
          <w:sz w:val="28"/>
        </w:rPr>
      </w:pPr>
      <w:r>
        <w:rPr>
          <w:rFonts w:hint="eastAsia" w:ascii="黑体" w:eastAsia="黑体"/>
          <w:color w:val="auto"/>
          <w:sz w:val="28"/>
        </w:rPr>
        <w:t>中标通知书</w:t>
      </w:r>
    </w:p>
    <w:p>
      <w:pPr>
        <w:pStyle w:val="13"/>
        <w:rPr>
          <w:rFonts w:ascii="黑体"/>
          <w:color w:val="auto"/>
          <w:sz w:val="20"/>
        </w:rPr>
      </w:pPr>
    </w:p>
    <w:p>
      <w:pPr>
        <w:pStyle w:val="13"/>
        <w:spacing w:before="12"/>
        <w:rPr>
          <w:rFonts w:ascii="黑体"/>
          <w:color w:val="auto"/>
          <w:sz w:val="17"/>
        </w:rPr>
      </w:pPr>
    </w:p>
    <w:p>
      <w:pPr>
        <w:pStyle w:val="13"/>
        <w:tabs>
          <w:tab w:val="left" w:pos="2824"/>
        </w:tabs>
        <w:spacing w:before="74"/>
        <w:ind w:left="544"/>
        <w:rPr>
          <w:rFonts w:hint="eastAsia" w:eastAsia="宋体"/>
          <w:color w:val="auto"/>
          <w:lang w:eastAsia="zh-CN"/>
        </w:rPr>
      </w:pPr>
      <w:r>
        <w:rPr>
          <w:rFonts w:ascii="Times New Roman" w:eastAsia="Times New Roman"/>
          <w:color w:val="auto"/>
          <w:u w:val="single"/>
        </w:rPr>
        <w:tab/>
      </w:r>
      <w:r>
        <w:rPr>
          <w:color w:val="auto"/>
        </w:rPr>
        <w:t>（中标人名称</w:t>
      </w:r>
      <w:r>
        <w:rPr>
          <w:color w:val="auto"/>
          <w:spacing w:val="-120"/>
        </w:rPr>
        <w:t>）</w:t>
      </w:r>
      <w:r>
        <w:rPr>
          <w:rFonts w:hint="eastAsia"/>
          <w:color w:val="auto"/>
          <w:lang w:eastAsia="zh-CN"/>
        </w:rPr>
        <w:t>）：</w:t>
      </w:r>
    </w:p>
    <w:p>
      <w:pPr>
        <w:pStyle w:val="13"/>
        <w:rPr>
          <w:color w:val="auto"/>
          <w:sz w:val="26"/>
        </w:rPr>
      </w:pPr>
    </w:p>
    <w:p>
      <w:pPr>
        <w:pStyle w:val="13"/>
        <w:spacing w:before="9"/>
        <w:rPr>
          <w:color w:val="auto"/>
          <w:sz w:val="18"/>
        </w:rPr>
      </w:pPr>
    </w:p>
    <w:p>
      <w:pPr>
        <w:pStyle w:val="13"/>
        <w:tabs>
          <w:tab w:val="left" w:pos="2683"/>
          <w:tab w:val="left" w:pos="6720"/>
          <w:tab w:val="left" w:pos="8859"/>
        </w:tabs>
        <w:spacing w:line="343" w:lineRule="auto"/>
        <w:ind w:left="424" w:right="384"/>
        <w:rPr>
          <w:color w:val="auto"/>
        </w:rPr>
      </w:pPr>
      <w:r>
        <w:rPr>
          <w:color w:val="auto"/>
        </w:rPr>
        <w:t>你方于</w:t>
      </w:r>
      <w:r>
        <w:rPr>
          <w:color w:val="auto"/>
          <w:u w:val="single"/>
        </w:rPr>
        <w:tab/>
      </w:r>
      <w:r>
        <w:rPr>
          <w:color w:val="auto"/>
        </w:rPr>
        <w:t>（投标日期</w:t>
      </w:r>
      <w:r>
        <w:rPr>
          <w:color w:val="auto"/>
          <w:spacing w:val="-22"/>
        </w:rPr>
        <w:t>）</w:t>
      </w:r>
      <w:r>
        <w:rPr>
          <w:color w:val="auto"/>
        </w:rPr>
        <w:t>所递交的</w:t>
      </w:r>
      <w:r>
        <w:rPr>
          <w:color w:val="auto"/>
          <w:u w:val="single"/>
        </w:rPr>
        <w:tab/>
      </w:r>
      <w:r>
        <w:rPr>
          <w:color w:val="auto"/>
        </w:rPr>
        <w:t>（项目名称</w:t>
      </w:r>
      <w:r>
        <w:rPr>
          <w:color w:val="auto"/>
          <w:spacing w:val="-22"/>
        </w:rPr>
        <w:t>）</w:t>
      </w:r>
      <w:r>
        <w:rPr>
          <w:color w:val="auto"/>
          <w:spacing w:val="-22"/>
          <w:u w:val="single"/>
        </w:rPr>
        <w:tab/>
      </w:r>
      <w:r>
        <w:rPr>
          <w:color w:val="auto"/>
          <w:spacing w:val="-17"/>
        </w:rPr>
        <w:t>标</w:t>
      </w:r>
      <w:r>
        <w:rPr>
          <w:color w:val="auto"/>
        </w:rPr>
        <w:t>段施工投标文件已被我方接受，被确定为中标人。</w:t>
      </w:r>
    </w:p>
    <w:p>
      <w:pPr>
        <w:pStyle w:val="13"/>
        <w:tabs>
          <w:tab w:val="left" w:pos="4144"/>
        </w:tabs>
        <w:spacing w:before="2"/>
        <w:ind w:left="424"/>
        <w:rPr>
          <w:color w:val="auto"/>
        </w:rPr>
      </w:pPr>
      <w:r>
        <w:rPr>
          <w:color w:val="auto"/>
        </w:rPr>
        <w:t>中标价：</w:t>
      </w:r>
      <w:r>
        <w:rPr>
          <w:color w:val="auto"/>
          <w:u w:val="single"/>
        </w:rPr>
        <w:tab/>
      </w:r>
      <w:r>
        <w:rPr>
          <w:color w:val="auto"/>
        </w:rPr>
        <w:t>元。</w:t>
      </w:r>
    </w:p>
    <w:p>
      <w:pPr>
        <w:pStyle w:val="13"/>
        <w:tabs>
          <w:tab w:val="left" w:pos="2344"/>
        </w:tabs>
        <w:spacing w:before="132"/>
        <w:ind w:left="424"/>
        <w:rPr>
          <w:color w:val="auto"/>
        </w:rPr>
      </w:pPr>
      <w:r>
        <w:rPr>
          <w:color w:val="auto"/>
        </w:rPr>
        <w:t>工期：</w:t>
      </w:r>
      <w:r>
        <w:rPr>
          <w:color w:val="auto"/>
          <w:u w:val="single"/>
        </w:rPr>
        <w:tab/>
      </w:r>
      <w:r>
        <w:rPr>
          <w:color w:val="auto"/>
        </w:rPr>
        <w:t>日历天。</w:t>
      </w:r>
    </w:p>
    <w:p>
      <w:pPr>
        <w:pStyle w:val="13"/>
        <w:tabs>
          <w:tab w:val="left" w:pos="5225"/>
        </w:tabs>
        <w:spacing w:before="132" w:line="345" w:lineRule="auto"/>
        <w:ind w:left="904" w:right="3539"/>
        <w:rPr>
          <w:color w:val="auto"/>
          <w:spacing w:val="-18"/>
        </w:rPr>
      </w:pPr>
      <w:r>
        <w:rPr>
          <w:color w:val="auto"/>
        </w:rPr>
        <w:t>工程质量：符合</w:t>
      </w:r>
      <w:r>
        <w:rPr>
          <w:color w:val="auto"/>
          <w:u w:val="single"/>
        </w:rPr>
        <w:tab/>
      </w:r>
      <w:r>
        <w:rPr>
          <w:color w:val="auto"/>
        </w:rPr>
        <w:t>标准</w:t>
      </w:r>
      <w:r>
        <w:rPr>
          <w:color w:val="auto"/>
          <w:spacing w:val="-18"/>
        </w:rPr>
        <w:t>。</w:t>
      </w:r>
    </w:p>
    <w:p>
      <w:pPr>
        <w:pStyle w:val="13"/>
        <w:tabs>
          <w:tab w:val="left" w:pos="5225"/>
        </w:tabs>
        <w:spacing w:before="132" w:line="345" w:lineRule="auto"/>
        <w:ind w:left="904" w:right="3539"/>
        <w:rPr>
          <w:color w:val="auto"/>
        </w:rPr>
      </w:pPr>
      <w:r>
        <w:rPr>
          <w:color w:val="auto"/>
        </w:rPr>
        <w:t>工程安全目标：</w:t>
      </w:r>
      <w:r>
        <w:rPr>
          <w:color w:val="auto"/>
          <w:u w:val="single"/>
        </w:rPr>
        <w:tab/>
      </w:r>
      <w:r>
        <w:rPr>
          <w:color w:val="auto"/>
        </w:rPr>
        <w:t>。</w:t>
      </w:r>
    </w:p>
    <w:p>
      <w:pPr>
        <w:pStyle w:val="13"/>
        <w:tabs>
          <w:tab w:val="left" w:pos="3813"/>
        </w:tabs>
        <w:spacing w:line="343" w:lineRule="auto"/>
        <w:ind w:left="933" w:right="4590"/>
        <w:rPr>
          <w:color w:val="auto"/>
          <w:spacing w:val="-17"/>
        </w:rPr>
      </w:pPr>
      <w:r>
        <w:rPr>
          <w:color w:val="auto"/>
        </w:rPr>
        <mc:AlternateContent>
          <mc:Choice Requires="wps">
            <w:drawing>
              <wp:anchor distT="0" distB="0" distL="114300" distR="114300" simplePos="0" relativeHeight="251668480" behindDoc="0" locked="0" layoutInCell="1" allowOverlap="1">
                <wp:simplePos x="0" y="0"/>
                <wp:positionH relativeFrom="page">
                  <wp:posOffset>2129155</wp:posOffset>
                </wp:positionH>
                <wp:positionV relativeFrom="paragraph">
                  <wp:posOffset>451485</wp:posOffset>
                </wp:positionV>
                <wp:extent cx="1066800" cy="0"/>
                <wp:effectExtent l="0" t="0" r="0" b="0"/>
                <wp:wrapNone/>
                <wp:docPr id="52" name="直接连接符 52"/>
                <wp:cNvGraphicFramePr/>
                <a:graphic xmlns:a="http://schemas.openxmlformats.org/drawingml/2006/main">
                  <a:graphicData uri="http://schemas.microsoft.com/office/word/2010/wordprocessingShape">
                    <wps:wsp>
                      <wps:cNvCnPr/>
                      <wps:spPr>
                        <a:xfrm>
                          <a:off x="0" y="0"/>
                          <a:ext cx="1066800" cy="0"/>
                        </a:xfrm>
                        <a:prstGeom prst="line">
                          <a:avLst/>
                        </a:prstGeom>
                        <a:ln w="7620"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167.65pt;margin-top:35.55pt;height:0pt;width:84pt;mso-position-horizontal-relative:page;z-index:251668480;mso-width-relative:page;mso-height-relative:page;" filled="f" stroked="t" coordsize="21600,21600" o:gfxdata="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mmG+tYAAAAJAQAADwAAAAAAAAABACAAAAAiAAAAZHJzL2Rvd25yZXYueG1sUEsBAhQAFAAA&#10;AAgAh07iQFvyHgPxAQAA6AMAAA4AAAAAAAAAAQAgAAAAJQEAAGRycy9lMm9Eb2MueG1sUEsFBgAA&#10;AAAGAAYAWQEAAIgFAAAAAA==&#10;">
                <v:fill on="f" focussize="0,0"/>
                <v:stroke weight="0.6pt" color="#000000" joinstyle="round"/>
                <v:imagedata o:title=""/>
                <o:lock v:ext="edit" aspectratio="f"/>
              </v:line>
            </w:pict>
          </mc:Fallback>
        </mc:AlternateContent>
      </w:r>
      <w:r>
        <w:rPr>
          <w:color w:val="auto"/>
        </w:rPr>
        <w:t>项目经理：</w:t>
      </w:r>
      <w:r>
        <w:rPr>
          <w:color w:val="auto"/>
          <w:u w:val="single"/>
        </w:rPr>
        <w:tab/>
      </w:r>
      <w:r>
        <w:rPr>
          <w:color w:val="auto"/>
        </w:rPr>
        <w:t>（姓名</w:t>
      </w:r>
      <w:r>
        <w:rPr>
          <w:color w:val="auto"/>
          <w:spacing w:val="-120"/>
        </w:rPr>
        <w:t>）</w:t>
      </w:r>
    </w:p>
    <w:p>
      <w:pPr>
        <w:pStyle w:val="13"/>
        <w:tabs>
          <w:tab w:val="left" w:pos="3813"/>
        </w:tabs>
        <w:spacing w:line="343" w:lineRule="auto"/>
        <w:ind w:left="933" w:right="4590"/>
        <w:rPr>
          <w:color w:val="auto"/>
        </w:rPr>
      </w:pPr>
      <w:r>
        <w:rPr>
          <w:color w:val="auto"/>
        </w:rPr>
        <w:t>项目总工：</w:t>
      </w:r>
      <w:r>
        <w:rPr>
          <w:color w:val="auto"/>
        </w:rPr>
        <w:tab/>
      </w:r>
      <w:r>
        <w:rPr>
          <w:color w:val="auto"/>
        </w:rPr>
        <w:t>（姓名</w:t>
      </w:r>
      <w:r>
        <w:rPr>
          <w:color w:val="auto"/>
          <w:spacing w:val="-120"/>
        </w:rPr>
        <w:t>）</w:t>
      </w:r>
    </w:p>
    <w:p>
      <w:pPr>
        <w:pStyle w:val="13"/>
        <w:tabs>
          <w:tab w:val="left" w:pos="4384"/>
          <w:tab w:val="left" w:pos="7745"/>
        </w:tabs>
        <w:spacing w:line="343" w:lineRule="auto"/>
        <w:ind w:left="424" w:right="298"/>
        <w:rPr>
          <w:color w:val="auto"/>
        </w:rPr>
      </w:pPr>
      <w:r>
        <w:rPr>
          <w:color w:val="auto"/>
        </w:rPr>
        <w:t>请你方在接到本通知书后的日内到（指定地点</w:t>
      </w:r>
      <w:r>
        <w:rPr>
          <w:color w:val="auto"/>
          <w:spacing w:val="-17"/>
        </w:rPr>
        <w:t>）</w:t>
      </w:r>
      <w:r>
        <w:rPr>
          <w:color w:val="auto"/>
        </w:rPr>
        <w:t>与我方签订施工承包合同</w:t>
      </w:r>
      <w:r>
        <w:rPr>
          <w:color w:val="auto"/>
          <w:spacing w:val="-118"/>
        </w:rPr>
        <w:t>，</w:t>
      </w:r>
      <w:r>
        <w:rPr>
          <w:color w:val="auto"/>
        </w:rPr>
        <w:t>并按招标文件第二章</w:t>
      </w:r>
      <w:r>
        <w:rPr>
          <w:rFonts w:ascii="Times New Roman" w:hAnsi="Times New Roman" w:eastAsia="Times New Roman"/>
          <w:color w:val="auto"/>
        </w:rPr>
        <w:t>“</w:t>
      </w:r>
      <w:r>
        <w:rPr>
          <w:color w:val="auto"/>
        </w:rPr>
        <w:t>投标人须知</w:t>
      </w:r>
      <w:r>
        <w:rPr>
          <w:rFonts w:ascii="Times New Roman" w:hAnsi="Times New Roman" w:eastAsia="Times New Roman"/>
          <w:color w:val="auto"/>
        </w:rPr>
        <w:t>”</w:t>
      </w:r>
      <w:r>
        <w:rPr>
          <w:color w:val="auto"/>
        </w:rPr>
        <w:t>第</w:t>
      </w:r>
      <w:r>
        <w:rPr>
          <w:rFonts w:ascii="Times New Roman" w:hAnsi="Times New Roman" w:eastAsia="Times New Roman"/>
          <w:color w:val="auto"/>
        </w:rPr>
        <w:t>7.7</w:t>
      </w:r>
      <w:r>
        <w:rPr>
          <w:color w:val="auto"/>
        </w:rPr>
        <w:t>款规定向我方提交履约保证金。</w:t>
      </w:r>
    </w:p>
    <w:p>
      <w:pPr>
        <w:pStyle w:val="13"/>
        <w:ind w:left="424"/>
        <w:rPr>
          <w:color w:val="auto"/>
        </w:rPr>
      </w:pPr>
      <w:r>
        <w:rPr>
          <w:color w:val="auto"/>
        </w:rPr>
        <w:t>特此通知。</w:t>
      </w:r>
    </w:p>
    <w:p>
      <w:pPr>
        <w:pStyle w:val="13"/>
        <w:rPr>
          <w:color w:val="auto"/>
        </w:rPr>
      </w:pPr>
    </w:p>
    <w:p>
      <w:pPr>
        <w:pStyle w:val="13"/>
        <w:rPr>
          <w:color w:val="auto"/>
        </w:rPr>
      </w:pPr>
    </w:p>
    <w:p>
      <w:pPr>
        <w:pStyle w:val="13"/>
        <w:rPr>
          <w:color w:val="auto"/>
        </w:rPr>
      </w:pPr>
    </w:p>
    <w:p>
      <w:pPr>
        <w:pStyle w:val="13"/>
        <w:tabs>
          <w:tab w:val="left" w:pos="7726"/>
        </w:tabs>
        <w:spacing w:before="215" w:line="468" w:lineRule="auto"/>
        <w:ind w:left="4125" w:right="317"/>
        <w:rPr>
          <w:rFonts w:hint="eastAsia" w:eastAsia="宋体"/>
          <w:color w:val="auto"/>
          <w:spacing w:val="-17"/>
          <w:lang w:eastAsia="zh-CN"/>
        </w:rPr>
      </w:pPr>
      <w:r>
        <w:rPr>
          <w:color w:val="auto"/>
        </w:rPr>
        <w:t>招标人：</w:t>
      </w:r>
      <w:r>
        <w:rPr>
          <w:color w:val="auto"/>
          <w:u w:val="single"/>
        </w:rPr>
        <w:tab/>
      </w:r>
      <w:r>
        <w:rPr>
          <w:color w:val="auto"/>
        </w:rPr>
        <w:t>（盖单位章</w:t>
      </w:r>
      <w:r>
        <w:rPr>
          <w:color w:val="auto"/>
          <w:spacing w:val="-17"/>
        </w:rPr>
        <w:t>）</w:t>
      </w:r>
    </w:p>
    <w:p>
      <w:pPr>
        <w:pStyle w:val="13"/>
        <w:tabs>
          <w:tab w:val="left" w:pos="7726"/>
        </w:tabs>
        <w:spacing w:before="215" w:line="468" w:lineRule="auto"/>
        <w:ind w:left="4125" w:right="317"/>
        <w:rPr>
          <w:color w:val="auto"/>
        </w:rPr>
      </w:pPr>
      <w:r>
        <w:rPr>
          <w:color w:val="auto"/>
        </w:rPr>
        <w:t>招标代理机构：</w:t>
      </w:r>
      <w:r>
        <w:rPr>
          <w:color w:val="auto"/>
          <w:u w:val="single"/>
        </w:rPr>
        <w:tab/>
      </w:r>
      <w:r>
        <w:rPr>
          <w:color w:val="auto"/>
        </w:rPr>
        <w:t>（盖单位章</w:t>
      </w:r>
      <w:r>
        <w:rPr>
          <w:color w:val="auto"/>
          <w:spacing w:val="-17"/>
        </w:rPr>
        <w:t>）</w:t>
      </w:r>
    </w:p>
    <w:p>
      <w:pPr>
        <w:pStyle w:val="13"/>
        <w:tabs>
          <w:tab w:val="left" w:pos="6161"/>
          <w:tab w:val="left" w:pos="6881"/>
          <w:tab w:val="left" w:pos="7601"/>
        </w:tabs>
        <w:wordWrap w:val="0"/>
        <w:spacing w:before="1"/>
        <w:ind w:left="5060" w:leftChars="2300"/>
        <w:jc w:val="both"/>
        <w:rPr>
          <w:rFonts w:hint="eastAsia" w:eastAsia="宋体"/>
          <w:color w:val="auto"/>
          <w:lang w:val="en-US" w:eastAsia="zh-CN"/>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wordWrap w:val="0"/>
        <w:ind w:left="5060" w:leftChars="2300"/>
        <w:jc w:val="right"/>
        <w:rPr>
          <w:rFonts w:hint="eastAsia" w:eastAsia="宋体"/>
          <w:color w:val="auto"/>
          <w:lang w:val="en-US" w:eastAsia="zh-CN"/>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spacing w:before="7"/>
        <w:rPr>
          <w:color w:val="auto"/>
          <w:sz w:val="17"/>
        </w:rPr>
      </w:pPr>
    </w:p>
    <w:p>
      <w:pPr>
        <w:rPr>
          <w:color w:val="auto"/>
          <w:sz w:val="17"/>
        </w:rPr>
        <w:sectPr>
          <w:pgSz w:w="11911" w:h="16838"/>
          <w:pgMar w:top="1247" w:right="1134" w:bottom="1247" w:left="1134" w:header="737" w:footer="850" w:gutter="0"/>
          <w:pgNumType w:fmt="numberInDash"/>
          <w:cols w:space="0" w:num="1"/>
          <w:rtlGutter w:val="0"/>
          <w:docGrid w:linePitch="0" w:charSpace="0"/>
        </w:sectPr>
      </w:pPr>
    </w:p>
    <w:p>
      <w:pPr>
        <w:pStyle w:val="13"/>
        <w:spacing w:before="66"/>
        <w:ind w:left="424"/>
        <w:rPr>
          <w:rFonts w:hint="eastAsia" w:ascii="黑体" w:eastAsia="黑体"/>
          <w:color w:val="auto"/>
          <w:lang w:eastAsia="zh-CN"/>
        </w:rPr>
      </w:pPr>
      <w:bookmarkStart w:id="3" w:name="_bookmark91"/>
      <w:bookmarkEnd w:id="3"/>
      <w:r>
        <w:rPr>
          <w:rFonts w:hint="eastAsia" w:ascii="黑体" w:eastAsia="黑体"/>
          <w:color w:val="auto"/>
        </w:rPr>
        <w:t>附件五中标结果通知书</w:t>
      </w:r>
      <w:r>
        <w:rPr>
          <w:rFonts w:hint="eastAsia" w:ascii="黑体" w:eastAsia="黑体"/>
          <w:color w:val="auto"/>
          <w:lang w:eastAsia="zh-CN"/>
        </w:rPr>
        <w:t>（格式可调整）</w:t>
      </w:r>
    </w:p>
    <w:p>
      <w:pPr>
        <w:pStyle w:val="13"/>
        <w:spacing w:before="2"/>
        <w:rPr>
          <w:rFonts w:ascii="黑体"/>
          <w:color w:val="auto"/>
          <w:sz w:val="35"/>
        </w:rPr>
      </w:pPr>
    </w:p>
    <w:p>
      <w:pPr>
        <w:ind w:left="424"/>
        <w:jc w:val="center"/>
        <w:rPr>
          <w:rFonts w:ascii="黑体" w:eastAsia="黑体"/>
          <w:color w:val="auto"/>
          <w:sz w:val="28"/>
        </w:rPr>
      </w:pPr>
      <w:r>
        <w:rPr>
          <w:rFonts w:hint="eastAsia" w:ascii="黑体" w:eastAsia="黑体"/>
          <w:color w:val="auto"/>
          <w:sz w:val="28"/>
        </w:rPr>
        <w:t>中标结果通知书</w:t>
      </w:r>
    </w:p>
    <w:p>
      <w:pPr>
        <w:rPr>
          <w:rFonts w:ascii="黑体" w:eastAsia="黑体"/>
          <w:color w:val="auto"/>
          <w:sz w:val="28"/>
        </w:rPr>
        <w:sectPr>
          <w:type w:val="continuous"/>
          <w:pgSz w:w="11911" w:h="16838"/>
          <w:pgMar w:top="1247" w:right="1134" w:bottom="1247" w:left="1134" w:header="737" w:footer="850" w:gutter="0"/>
          <w:pgNumType w:fmt="numberInDash"/>
          <w:cols w:space="0" w:num="1"/>
          <w:rtlGutter w:val="0"/>
          <w:docGrid w:linePitch="0" w:charSpace="0"/>
        </w:sectPr>
      </w:pPr>
    </w:p>
    <w:p>
      <w:pPr>
        <w:pStyle w:val="13"/>
        <w:rPr>
          <w:rFonts w:ascii="黑体"/>
          <w:color w:val="auto"/>
          <w:sz w:val="20"/>
        </w:rPr>
      </w:pPr>
    </w:p>
    <w:p>
      <w:pPr>
        <w:pStyle w:val="13"/>
        <w:spacing w:before="12"/>
        <w:rPr>
          <w:rFonts w:ascii="黑体"/>
          <w:color w:val="auto"/>
          <w:sz w:val="17"/>
        </w:rPr>
      </w:pPr>
    </w:p>
    <w:p>
      <w:pPr>
        <w:pStyle w:val="13"/>
        <w:tabs>
          <w:tab w:val="left" w:pos="2704"/>
        </w:tabs>
        <w:spacing w:before="74"/>
        <w:ind w:left="544"/>
        <w:rPr>
          <w:rFonts w:hint="eastAsia" w:ascii="宋体" w:hAnsi="宋体" w:eastAsia="宋体" w:cs="宋体"/>
          <w:color w:val="auto"/>
          <w:u w:val="none"/>
          <w:lang w:val="en-US" w:eastAsia="zh-CN"/>
        </w:rPr>
      </w:pPr>
      <w:r>
        <w:rPr>
          <w:rFonts w:hint="eastAsia" w:ascii="宋体" w:hAnsi="宋体" w:eastAsia="宋体" w:cs="宋体"/>
          <w:color w:val="auto"/>
          <w:u w:val="single"/>
        </w:rPr>
        <w:tab/>
      </w:r>
      <w:r>
        <w:rPr>
          <w:rFonts w:hint="eastAsia" w:ascii="宋体" w:hAnsi="宋体" w:eastAsia="宋体" w:cs="宋体"/>
          <w:color w:val="auto"/>
          <w:u w:val="none"/>
          <w:lang w:val="en-US" w:eastAsia="zh-CN"/>
        </w:rPr>
        <w:t>（未中标人名称）：</w:t>
      </w:r>
    </w:p>
    <w:p>
      <w:pPr>
        <w:rPr>
          <w:rFonts w:hint="eastAsia"/>
          <w:color w:val="auto"/>
          <w:lang w:val="en-US" w:eastAsia="zh-CN"/>
        </w:rPr>
      </w:pPr>
    </w:p>
    <w:p>
      <w:pPr>
        <w:rPr>
          <w:rFonts w:hint="eastAsia"/>
          <w:color w:val="auto"/>
        </w:rPr>
      </w:pPr>
    </w:p>
    <w:p>
      <w:pPr>
        <w:pStyle w:val="13"/>
        <w:tabs>
          <w:tab w:val="left" w:pos="2142"/>
          <w:tab w:val="left" w:pos="4319"/>
          <w:tab w:val="left" w:pos="7440"/>
          <w:tab w:val="left" w:pos="8619"/>
        </w:tabs>
        <w:spacing w:before="1" w:line="343" w:lineRule="auto"/>
        <w:ind w:left="424" w:right="384" w:firstLine="418"/>
        <w:jc w:val="both"/>
        <w:rPr>
          <w:rFonts w:hint="eastAsia" w:eastAsia="宋体"/>
          <w:color w:val="auto"/>
          <w:lang w:eastAsia="zh-CN"/>
        </w:rPr>
      </w:pPr>
      <w:r>
        <w:rPr>
          <w:color w:val="auto"/>
        </w:rPr>
        <w:t>我方已接受</w:t>
      </w:r>
      <w:r>
        <w:rPr>
          <w:color w:val="auto"/>
          <w:u w:val="single"/>
        </w:rPr>
        <w:tab/>
      </w:r>
      <w:r>
        <w:rPr>
          <w:color w:val="auto"/>
        </w:rPr>
        <w:t>（中标人名称</w:t>
      </w:r>
      <w:r>
        <w:rPr>
          <w:color w:val="auto"/>
          <w:spacing w:val="-22"/>
        </w:rPr>
        <w:t>）</w:t>
      </w:r>
      <w:r>
        <w:rPr>
          <w:color w:val="auto"/>
        </w:rPr>
        <w:t>于</w:t>
      </w:r>
      <w:r>
        <w:rPr>
          <w:color w:val="auto"/>
          <w:u w:val="single"/>
        </w:rPr>
        <w:tab/>
      </w:r>
      <w:r>
        <w:rPr>
          <w:color w:val="auto"/>
        </w:rPr>
        <w:t>（投标日期</w:t>
      </w:r>
      <w:r>
        <w:rPr>
          <w:color w:val="auto"/>
          <w:spacing w:val="-22"/>
        </w:rPr>
        <w:t>）</w:t>
      </w:r>
      <w:r>
        <w:rPr>
          <w:color w:val="auto"/>
          <w:spacing w:val="-16"/>
        </w:rPr>
        <w:t>所</w:t>
      </w:r>
      <w:r>
        <w:rPr>
          <w:color w:val="auto"/>
        </w:rPr>
        <w:t>递交的</w:t>
      </w:r>
      <w:r>
        <w:rPr>
          <w:color w:val="auto"/>
          <w:u w:val="single"/>
        </w:rPr>
        <w:tab/>
      </w:r>
      <w:r>
        <w:rPr>
          <w:color w:val="auto"/>
          <w:u w:val="single"/>
        </w:rPr>
        <w:t>（</w:t>
      </w:r>
      <w:r>
        <w:rPr>
          <w:color w:val="auto"/>
        </w:rPr>
        <w:t>项目名称）标段施工投标文件</w:t>
      </w:r>
      <w:r>
        <w:rPr>
          <w:rFonts w:hint="eastAsia"/>
          <w:color w:val="auto"/>
          <w:lang w:eastAsia="zh-CN"/>
        </w:rPr>
        <w:t>，</w:t>
      </w:r>
      <w:r>
        <w:rPr>
          <w:rFonts w:hint="eastAsia"/>
          <w:color w:val="auto"/>
          <w:lang w:val="en-US" w:eastAsia="zh-CN"/>
        </w:rPr>
        <w:t>确定（中标人名称）为中标人。</w:t>
      </w:r>
    </w:p>
    <w:p>
      <w:pPr>
        <w:ind w:firstLine="418"/>
        <w:rPr>
          <w:color w:val="auto"/>
        </w:rPr>
      </w:pPr>
    </w:p>
    <w:p>
      <w:pPr>
        <w:pStyle w:val="13"/>
        <w:spacing w:before="132"/>
        <w:ind w:left="424"/>
        <w:rPr>
          <w:color w:val="auto"/>
        </w:rPr>
      </w:pPr>
      <w:r>
        <w:rPr>
          <w:color w:val="auto"/>
        </w:rPr>
        <w:t>感谢你单位对招标项目的参与！</w:t>
      </w:r>
    </w:p>
    <w:p>
      <w:pPr>
        <w:pStyle w:val="13"/>
        <w:rPr>
          <w:color w:val="auto"/>
        </w:rPr>
      </w:pPr>
    </w:p>
    <w:p>
      <w:pPr>
        <w:pStyle w:val="13"/>
        <w:rPr>
          <w:color w:val="auto"/>
        </w:rPr>
      </w:pPr>
    </w:p>
    <w:p>
      <w:pPr>
        <w:pStyle w:val="13"/>
        <w:rPr>
          <w:color w:val="auto"/>
        </w:rPr>
      </w:pPr>
    </w:p>
    <w:p>
      <w:pPr>
        <w:pStyle w:val="13"/>
        <w:rPr>
          <w:color w:val="auto"/>
        </w:rPr>
      </w:pPr>
    </w:p>
    <w:p>
      <w:pPr>
        <w:pStyle w:val="13"/>
        <w:spacing w:before="4"/>
        <w:rPr>
          <w:color w:val="auto"/>
          <w:sz w:val="31"/>
        </w:rPr>
      </w:pPr>
    </w:p>
    <w:p>
      <w:pPr>
        <w:pStyle w:val="13"/>
        <w:tabs>
          <w:tab w:val="left" w:pos="7726"/>
        </w:tabs>
        <w:spacing w:before="1" w:line="468" w:lineRule="auto"/>
        <w:ind w:left="4125" w:right="317"/>
        <w:rPr>
          <w:rFonts w:hint="eastAsia" w:eastAsia="宋体"/>
          <w:color w:val="auto"/>
          <w:spacing w:val="-17"/>
          <w:lang w:eastAsia="zh-CN"/>
        </w:rPr>
      </w:pPr>
      <w:r>
        <w:rPr>
          <w:color w:val="auto"/>
        </w:rPr>
        <w:t>招标人：</w:t>
      </w:r>
      <w:r>
        <w:rPr>
          <w:color w:val="auto"/>
          <w:u w:val="single"/>
        </w:rPr>
        <w:tab/>
      </w:r>
      <w:r>
        <w:rPr>
          <w:color w:val="auto"/>
        </w:rPr>
        <w:t>（盖单位章</w:t>
      </w:r>
      <w:r>
        <w:rPr>
          <w:color w:val="auto"/>
          <w:spacing w:val="-17"/>
        </w:rPr>
        <w:t>）</w:t>
      </w:r>
    </w:p>
    <w:p>
      <w:pPr>
        <w:pStyle w:val="13"/>
        <w:tabs>
          <w:tab w:val="left" w:pos="7726"/>
        </w:tabs>
        <w:spacing w:before="1" w:line="468" w:lineRule="auto"/>
        <w:ind w:left="4125" w:right="317"/>
        <w:rPr>
          <w:color w:val="auto"/>
        </w:rPr>
      </w:pPr>
      <w:r>
        <w:rPr>
          <w:color w:val="auto"/>
        </w:rPr>
        <w:t>招标代理机构：</w:t>
      </w:r>
      <w:r>
        <w:rPr>
          <w:color w:val="auto"/>
          <w:u w:val="single"/>
        </w:rPr>
        <w:tab/>
      </w:r>
      <w:r>
        <w:rPr>
          <w:color w:val="auto"/>
        </w:rPr>
        <w:t>（盖单位章</w:t>
      </w:r>
      <w:r>
        <w:rPr>
          <w:color w:val="auto"/>
          <w:spacing w:val="-17"/>
        </w:rPr>
        <w:t>）</w:t>
      </w:r>
    </w:p>
    <w:p>
      <w:pPr>
        <w:pStyle w:val="13"/>
        <w:tabs>
          <w:tab w:val="left" w:pos="6425"/>
          <w:tab w:val="left" w:pos="7145"/>
          <w:tab w:val="left" w:pos="7865"/>
        </w:tabs>
        <w:ind w:left="5465"/>
        <w:rPr>
          <w:color w:val="auto"/>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rPr>
          <w:color w:val="auto"/>
        </w:rPr>
      </w:pPr>
    </w:p>
    <w:p>
      <w:pPr>
        <w:rPr>
          <w:color w:val="auto"/>
        </w:rPr>
      </w:pPr>
    </w:p>
    <w:p>
      <w:pPr>
        <w:rPr>
          <w:color w:val="auto"/>
        </w:rPr>
      </w:pPr>
    </w:p>
    <w:p>
      <w:pPr>
        <w:rPr>
          <w:color w:val="auto"/>
        </w:rPr>
      </w:pPr>
    </w:p>
    <w:p>
      <w:pPr>
        <w:rPr>
          <w:color w:val="auto"/>
        </w:rPr>
        <w:sectPr>
          <w:type w:val="continuous"/>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bookmarkStart w:id="4" w:name="_bookmark92"/>
      <w:bookmarkEnd w:id="4"/>
    </w:p>
    <w:p>
      <w:pPr>
        <w:pStyle w:val="13"/>
        <w:spacing w:before="8"/>
        <w:rPr>
          <w:color w:val="auto"/>
          <w:sz w:val="19"/>
        </w:rPr>
      </w:pPr>
    </w:p>
    <w:p>
      <w:pPr>
        <w:pStyle w:val="13"/>
        <w:rPr>
          <w:color w:val="auto"/>
          <w:sz w:val="20"/>
        </w:rPr>
      </w:pPr>
    </w:p>
    <w:p>
      <w:pPr>
        <w:pStyle w:val="13"/>
        <w:spacing w:before="108"/>
        <w:ind w:left="424"/>
        <w:rPr>
          <w:rFonts w:ascii="黑体" w:eastAsia="黑体"/>
          <w:color w:val="auto"/>
        </w:rPr>
      </w:pPr>
      <w:r>
        <w:rPr>
          <w:rFonts w:hint="eastAsia" w:ascii="黑体" w:eastAsia="黑体"/>
          <w:color w:val="auto"/>
        </w:rPr>
        <w:t>附件六确认通知</w:t>
      </w:r>
    </w:p>
    <w:p>
      <w:pPr>
        <w:pStyle w:val="13"/>
        <w:spacing w:before="3"/>
        <w:rPr>
          <w:rFonts w:ascii="黑体"/>
          <w:color w:val="auto"/>
          <w:sz w:val="38"/>
        </w:rPr>
      </w:pPr>
    </w:p>
    <w:p>
      <w:pPr>
        <w:spacing w:before="1"/>
        <w:ind w:left="424"/>
        <w:jc w:val="center"/>
        <w:rPr>
          <w:rFonts w:ascii="黑体" w:eastAsia="黑体"/>
          <w:color w:val="auto"/>
          <w:sz w:val="28"/>
        </w:rPr>
      </w:pPr>
      <w:r>
        <w:rPr>
          <w:rFonts w:hint="eastAsia" w:ascii="黑体" w:eastAsia="黑体"/>
          <w:color w:val="auto"/>
          <w:sz w:val="28"/>
        </w:rPr>
        <w:t>确认通知</w:t>
      </w:r>
    </w:p>
    <w:p>
      <w:pPr>
        <w:rPr>
          <w:rFonts w:ascii="黑体" w:eastAsia="黑体"/>
          <w:color w:val="auto"/>
          <w:sz w:val="28"/>
        </w:rPr>
        <w:sectPr>
          <w:pgSz w:w="11911" w:h="16838"/>
          <w:pgMar w:top="1247" w:right="1134" w:bottom="1247" w:left="1134" w:header="737" w:footer="850" w:gutter="0"/>
          <w:pgNumType w:fmt="numberInDash"/>
          <w:cols w:space="0" w:num="1"/>
          <w:rtlGutter w:val="0"/>
          <w:docGrid w:linePitch="0" w:charSpace="0"/>
        </w:sectPr>
      </w:pPr>
    </w:p>
    <w:p>
      <w:pPr>
        <w:pStyle w:val="13"/>
        <w:rPr>
          <w:rFonts w:ascii="黑体"/>
          <w:color w:val="auto"/>
          <w:sz w:val="20"/>
        </w:rPr>
      </w:pPr>
    </w:p>
    <w:p>
      <w:pPr>
        <w:pStyle w:val="13"/>
        <w:spacing w:before="1"/>
        <w:rPr>
          <w:rFonts w:ascii="黑体"/>
          <w:color w:val="auto"/>
          <w:sz w:val="18"/>
        </w:rPr>
      </w:pPr>
    </w:p>
    <w:p>
      <w:pPr>
        <w:pStyle w:val="13"/>
        <w:tabs>
          <w:tab w:val="left" w:pos="1864"/>
        </w:tabs>
        <w:spacing w:before="74"/>
        <w:ind w:left="424"/>
        <w:rPr>
          <w:rFonts w:hint="eastAsia" w:eastAsia="宋体"/>
          <w:color w:val="auto"/>
          <w:lang w:eastAsia="zh-CN"/>
        </w:rPr>
      </w:pPr>
      <w:r>
        <w:rPr>
          <w:rFonts w:ascii="Times New Roman" w:eastAsia="Times New Roman"/>
          <w:color w:val="auto"/>
          <w:u w:val="single"/>
        </w:rPr>
        <w:tab/>
      </w:r>
      <w:r>
        <w:rPr>
          <w:color w:val="auto"/>
        </w:rPr>
        <w:t>（招标人名称</w:t>
      </w:r>
      <w:r>
        <w:rPr>
          <w:color w:val="auto"/>
          <w:spacing w:val="-120"/>
        </w:rPr>
        <w:t>）</w:t>
      </w:r>
      <w:r>
        <w:rPr>
          <w:rFonts w:hint="eastAsia"/>
          <w:color w:val="auto"/>
          <w:lang w:eastAsia="zh-CN"/>
        </w:rPr>
        <w:t>）：</w:t>
      </w:r>
    </w:p>
    <w:p>
      <w:pPr>
        <w:pStyle w:val="13"/>
        <w:rPr>
          <w:color w:val="auto"/>
          <w:sz w:val="20"/>
        </w:rPr>
      </w:pPr>
    </w:p>
    <w:p>
      <w:pPr>
        <w:pStyle w:val="13"/>
        <w:rPr>
          <w:color w:val="auto"/>
          <w:sz w:val="20"/>
        </w:rPr>
      </w:pPr>
    </w:p>
    <w:p>
      <w:pPr>
        <w:pStyle w:val="13"/>
        <w:spacing w:before="7"/>
        <w:rPr>
          <w:color w:val="auto"/>
          <w:sz w:val="18"/>
        </w:rPr>
      </w:pPr>
    </w:p>
    <w:p>
      <w:pPr>
        <w:pStyle w:val="13"/>
        <w:tabs>
          <w:tab w:val="left" w:pos="2471"/>
          <w:tab w:val="left" w:pos="6811"/>
        </w:tabs>
        <w:spacing w:line="422" w:lineRule="auto"/>
        <w:ind w:left="424" w:right="380"/>
        <w:jc w:val="both"/>
        <w:rPr>
          <w:color w:val="auto"/>
        </w:rPr>
      </w:pPr>
      <w:r>
        <w:rPr>
          <w:color w:val="auto"/>
        </w:rPr>
        <w:t>你方于年月日发出的</w:t>
      </w:r>
      <w:r>
        <w:rPr>
          <w:color w:val="auto"/>
          <w:u w:val="single"/>
        </w:rPr>
        <w:tab/>
      </w:r>
      <w:r>
        <w:rPr>
          <w:color w:val="auto"/>
        </w:rPr>
        <w:t>（项目名称）标</w:t>
      </w:r>
      <w:r>
        <w:rPr>
          <w:color w:val="auto"/>
          <w:spacing w:val="2"/>
        </w:rPr>
        <w:t>段施工招标关于招标</w:t>
      </w:r>
      <w:r>
        <w:rPr>
          <w:color w:val="auto"/>
        </w:rPr>
        <w:t>文</w:t>
      </w:r>
      <w:r>
        <w:rPr>
          <w:color w:val="auto"/>
          <w:spacing w:val="2"/>
        </w:rPr>
        <w:t>件澄</w:t>
      </w:r>
      <w:r>
        <w:rPr>
          <w:color w:val="auto"/>
          <w:spacing w:val="3"/>
        </w:rPr>
        <w:t>清</w:t>
      </w:r>
      <w:r>
        <w:rPr>
          <w:rFonts w:ascii="Times New Roman" w:eastAsia="Times New Roman"/>
          <w:color w:val="auto"/>
          <w:spacing w:val="2"/>
        </w:rPr>
        <w:t>/</w:t>
      </w:r>
      <w:r>
        <w:rPr>
          <w:color w:val="auto"/>
          <w:spacing w:val="2"/>
        </w:rPr>
        <w:t>修改的通知</w:t>
      </w:r>
      <w:r>
        <w:rPr>
          <w:color w:val="auto"/>
        </w:rPr>
        <w:t>（</w:t>
      </w:r>
      <w:r>
        <w:rPr>
          <w:color w:val="auto"/>
          <w:spacing w:val="2"/>
        </w:rPr>
        <w:t>第号补遗书，正</w:t>
      </w:r>
      <w:r>
        <w:rPr>
          <w:color w:val="auto"/>
        </w:rPr>
        <w:t>文</w:t>
      </w:r>
      <w:r>
        <w:rPr>
          <w:color w:val="auto"/>
          <w:spacing w:val="4"/>
        </w:rPr>
        <w:t>共</w:t>
      </w:r>
      <w:r>
        <w:rPr>
          <w:color w:val="auto"/>
          <w:spacing w:val="2"/>
        </w:rPr>
        <w:t>页</w:t>
      </w:r>
      <w:r>
        <w:rPr>
          <w:color w:val="auto"/>
          <w:spacing w:val="-118"/>
        </w:rPr>
        <w:t>）</w:t>
      </w:r>
      <w:r>
        <w:rPr>
          <w:color w:val="auto"/>
          <w:spacing w:val="2"/>
        </w:rPr>
        <w:t>，我</w:t>
      </w:r>
      <w:r>
        <w:rPr>
          <w:color w:val="auto"/>
        </w:rPr>
        <w:t>方已于年月日收到。</w:t>
      </w:r>
    </w:p>
    <w:p>
      <w:pPr>
        <w:pStyle w:val="13"/>
        <w:spacing w:line="305" w:lineRule="exact"/>
        <w:ind w:left="424"/>
        <w:jc w:val="both"/>
        <w:rPr>
          <w:color w:val="auto"/>
        </w:rPr>
      </w:pPr>
      <w:r>
        <w:rPr>
          <w:color w:val="auto"/>
        </w:rPr>
        <w:t>特此确认。</w:t>
      </w:r>
    </w:p>
    <w:p>
      <w:pPr>
        <w:pStyle w:val="13"/>
        <w:rPr>
          <w:color w:val="auto"/>
        </w:rPr>
      </w:pPr>
    </w:p>
    <w:p>
      <w:pPr>
        <w:pStyle w:val="13"/>
        <w:rPr>
          <w:color w:val="auto"/>
        </w:rPr>
      </w:pPr>
    </w:p>
    <w:p>
      <w:pPr>
        <w:pStyle w:val="13"/>
        <w:rPr>
          <w:color w:val="auto"/>
        </w:rPr>
      </w:pPr>
    </w:p>
    <w:p>
      <w:pPr>
        <w:pStyle w:val="13"/>
        <w:rPr>
          <w:color w:val="auto"/>
        </w:rPr>
      </w:pPr>
    </w:p>
    <w:p>
      <w:pPr>
        <w:pStyle w:val="13"/>
        <w:rPr>
          <w:color w:val="auto"/>
          <w:sz w:val="19"/>
        </w:rPr>
      </w:pPr>
    </w:p>
    <w:p>
      <w:pPr>
        <w:pStyle w:val="13"/>
        <w:tabs>
          <w:tab w:val="left" w:pos="7625"/>
        </w:tabs>
        <w:ind w:left="4025"/>
        <w:rPr>
          <w:color w:val="auto"/>
        </w:rPr>
      </w:pPr>
      <w:r>
        <w:rPr>
          <w:color w:val="auto"/>
        </w:rPr>
        <w:t>投标人：</w:t>
      </w:r>
      <w:r>
        <w:rPr>
          <w:color w:val="auto"/>
          <w:u w:val="single"/>
        </w:rPr>
        <w:tab/>
      </w:r>
      <w:r>
        <w:rPr>
          <w:color w:val="auto"/>
        </w:rPr>
        <w:t>（盖单位章）</w:t>
      </w:r>
    </w:p>
    <w:p>
      <w:pPr>
        <w:pStyle w:val="13"/>
        <w:rPr>
          <w:color w:val="auto"/>
          <w:sz w:val="20"/>
        </w:rPr>
      </w:pPr>
    </w:p>
    <w:p>
      <w:pPr>
        <w:pStyle w:val="13"/>
        <w:spacing w:before="8"/>
        <w:rPr>
          <w:color w:val="auto"/>
          <w:sz w:val="19"/>
        </w:rPr>
      </w:pPr>
    </w:p>
    <w:p>
      <w:pPr>
        <w:pStyle w:val="13"/>
        <w:tabs>
          <w:tab w:val="left" w:pos="5945"/>
          <w:tab w:val="left" w:pos="6665"/>
          <w:tab w:val="left" w:pos="7385"/>
        </w:tabs>
        <w:spacing w:before="66"/>
        <w:ind w:left="4985"/>
        <w:rPr>
          <w:color w:val="auto"/>
        </w:rPr>
      </w:pPr>
      <w:r>
        <w:rPr>
          <w:rFonts w:ascii="Times New Roman" w:eastAsia="Times New Roman"/>
          <w:color w:val="auto"/>
          <w:u w:val="single"/>
        </w:rPr>
        <w:tab/>
      </w:r>
      <w:r>
        <w:rPr>
          <w:color w:val="auto"/>
        </w:rPr>
        <w:t>年</w:t>
      </w:r>
      <w:r>
        <w:rPr>
          <w:color w:val="auto"/>
          <w:u w:val="single"/>
        </w:rPr>
        <w:tab/>
      </w:r>
      <w:r>
        <w:rPr>
          <w:color w:val="auto"/>
        </w:rPr>
        <w:t>月</w:t>
      </w:r>
      <w:r>
        <w:rPr>
          <w:color w:val="auto"/>
          <w:u w:val="single"/>
        </w:rPr>
        <w:tab/>
      </w:r>
      <w:r>
        <w:rPr>
          <w:color w:val="auto"/>
        </w:rPr>
        <w:t>日</w:t>
      </w:r>
    </w:p>
    <w:p>
      <w:pPr>
        <w:rPr>
          <w:color w:val="auto"/>
        </w:rPr>
        <w:sectPr>
          <w:type w:val="continuous"/>
          <w:pgSz w:w="11911" w:h="16838"/>
          <w:pgMar w:top="1247" w:right="1134" w:bottom="1247" w:left="1134" w:header="737" w:footer="850" w:gutter="0"/>
          <w:pgNumType w:fmt="numberInDash"/>
          <w:cols w:space="0" w:num="1"/>
          <w:rtlGutter w:val="0"/>
          <w:docGrid w:linePitch="0" w:charSpace="0"/>
        </w:sectPr>
      </w:pPr>
    </w:p>
    <w:p>
      <w:pPr>
        <w:spacing w:line="220" w:lineRule="exact"/>
        <w:ind w:left="20"/>
        <w:rPr>
          <w:color w:val="auto"/>
          <w:sz w:val="18"/>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tabs>
          <w:tab w:val="left" w:pos="5219"/>
        </w:tabs>
        <w:spacing w:before="192"/>
        <w:jc w:val="center"/>
        <w:rPr>
          <w:b/>
          <w:bCs/>
          <w:color w:val="auto"/>
          <w:sz w:val="44"/>
          <w:szCs w:val="44"/>
        </w:rPr>
      </w:pPr>
      <w:r>
        <w:rPr>
          <w:b/>
          <w:bCs/>
          <w:color w:val="auto"/>
          <w:spacing w:val="-20"/>
          <w:sz w:val="44"/>
          <w:szCs w:val="44"/>
        </w:rPr>
        <w:t>第三</w:t>
      </w:r>
      <w:r>
        <w:rPr>
          <w:b/>
          <w:bCs/>
          <w:color w:val="auto"/>
          <w:sz w:val="44"/>
          <w:szCs w:val="44"/>
        </w:rPr>
        <w:t>章</w:t>
      </w:r>
      <w:r>
        <w:rPr>
          <w:b/>
          <w:bCs/>
          <w:color w:val="auto"/>
          <w:spacing w:val="-20"/>
          <w:sz w:val="44"/>
          <w:szCs w:val="44"/>
        </w:rPr>
        <w:t>评标办法</w:t>
      </w:r>
    </w:p>
    <w:p>
      <w:pPr>
        <w:rPr>
          <w:color w:val="auto"/>
          <w:sz w:val="54"/>
        </w:rPr>
        <w:sectPr>
          <w:footerReference r:id="rId16" w:type="default"/>
          <w:pgSz w:w="11911" w:h="16838"/>
          <w:pgMar w:top="1247" w:right="1134" w:bottom="1247" w:left="1134" w:header="737" w:footer="850" w:gutter="0"/>
          <w:pgNumType w:fmt="numberInDash"/>
          <w:cols w:space="0" w:num="1"/>
          <w:rtlGutter w:val="0"/>
          <w:docGrid w:linePitch="0" w:charSpace="0"/>
        </w:sectPr>
      </w:pPr>
    </w:p>
    <w:p>
      <w:pPr>
        <w:pStyle w:val="13"/>
        <w:tabs>
          <w:tab w:val="left" w:pos="754"/>
        </w:tabs>
        <w:rPr>
          <w:color w:val="auto"/>
          <w:sz w:val="20"/>
        </w:rPr>
      </w:pPr>
    </w:p>
    <w:p>
      <w:pPr>
        <w:spacing w:before="193"/>
        <w:ind w:left="919"/>
        <w:jc w:val="center"/>
        <w:rPr>
          <w:color w:val="auto"/>
          <w:sz w:val="24"/>
          <w:szCs w:val="24"/>
        </w:rPr>
      </w:pPr>
      <w:r>
        <w:rPr>
          <w:rFonts w:hint="eastAsia" w:ascii="黑体" w:eastAsia="黑体"/>
          <w:color w:val="auto"/>
          <w:sz w:val="36"/>
          <w:szCs w:val="36"/>
        </w:rPr>
        <w:t>第三章评标办法</w:t>
      </w:r>
      <w:r>
        <w:rPr>
          <w:rFonts w:hint="eastAsia" w:ascii="黑体" w:eastAsia="黑体"/>
          <w:color w:val="000000" w:themeColor="text1"/>
          <w:sz w:val="36"/>
          <w:szCs w:val="36"/>
          <w14:textFill>
            <w14:solidFill>
              <w14:schemeClr w14:val="tx1"/>
            </w14:solidFill>
          </w14:textFill>
        </w:rPr>
        <w:t>（</w:t>
      </w:r>
      <w:r>
        <w:rPr>
          <w:rFonts w:hint="eastAsia" w:ascii="黑体" w:eastAsia="黑体"/>
          <w:color w:val="000000" w:themeColor="text1"/>
          <w:sz w:val="36"/>
          <w:szCs w:val="36"/>
          <w:lang w:val="en-US" w:eastAsia="zh-CN"/>
          <w14:textFill>
            <w14:solidFill>
              <w14:schemeClr w14:val="tx1"/>
            </w14:solidFill>
          </w14:textFill>
        </w:rPr>
        <w:t>双信封的综合评分法</w:t>
      </w:r>
      <w:r>
        <w:rPr>
          <w:rFonts w:hint="eastAsia" w:ascii="黑体" w:eastAsia="黑体"/>
          <w:color w:val="000000" w:themeColor="text1"/>
          <w:sz w:val="36"/>
          <w:szCs w:val="36"/>
          <w14:textFill>
            <w14:solidFill>
              <w14:schemeClr w14:val="tx1"/>
            </w14:solidFill>
          </w14:textFill>
        </w:rPr>
        <w:t>）</w:t>
      </w:r>
    </w:p>
    <w:p>
      <w:pPr>
        <w:pStyle w:val="13"/>
        <w:rPr>
          <w:color w:val="auto"/>
          <w:sz w:val="24"/>
          <w:szCs w:val="24"/>
        </w:rPr>
      </w:pPr>
      <w:r>
        <w:rPr>
          <w:color w:val="auto"/>
          <w:sz w:val="24"/>
          <w:szCs w:val="24"/>
        </w:rPr>
        <w:t>评标办法前附表</w:t>
      </w:r>
    </w:p>
    <w:tbl>
      <w:tblPr>
        <w:tblStyle w:val="25"/>
        <w:tblW w:w="9072" w:type="dxa"/>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757"/>
        <w:gridCol w:w="1264"/>
        <w:gridCol w:w="7051"/>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32" w:hRule="exact"/>
          <w:jc w:val="center"/>
        </w:trPr>
        <w:tc>
          <w:tcPr>
            <w:tcW w:w="2021" w:type="dxa"/>
            <w:gridSpan w:val="2"/>
            <w:vAlign w:val="center"/>
          </w:tcPr>
          <w:p>
            <w:pPr>
              <w:spacing w:line="360" w:lineRule="auto"/>
              <w:jc w:val="center"/>
              <w:rPr>
                <w:rFonts w:ascii="宋体" w:hAnsi="宋体" w:cs="宋体"/>
                <w:b/>
                <w:color w:val="auto"/>
                <w:szCs w:val="21"/>
                <w:highlight w:val="none"/>
                <w:shd w:val="clear" w:color="auto" w:fill="auto"/>
              </w:rPr>
            </w:pPr>
            <w:r>
              <w:rPr>
                <w:rFonts w:hint="eastAsia" w:ascii="宋体" w:hAnsi="宋体" w:cs="宋体"/>
                <w:b/>
                <w:color w:val="auto"/>
                <w:szCs w:val="21"/>
                <w:highlight w:val="none"/>
                <w:shd w:val="clear" w:color="auto" w:fill="auto"/>
              </w:rPr>
              <w:t>条款号</w:t>
            </w:r>
          </w:p>
        </w:tc>
        <w:tc>
          <w:tcPr>
            <w:tcW w:w="7051" w:type="dxa"/>
            <w:vAlign w:val="center"/>
          </w:tcPr>
          <w:p>
            <w:pPr>
              <w:spacing w:line="360" w:lineRule="auto"/>
              <w:jc w:val="center"/>
              <w:rPr>
                <w:rFonts w:ascii="宋体" w:hAnsi="宋体" w:cs="宋体"/>
                <w:b/>
                <w:color w:val="auto"/>
                <w:szCs w:val="21"/>
                <w:highlight w:val="none"/>
                <w:shd w:val="clear" w:color="auto" w:fill="auto"/>
              </w:rPr>
            </w:pPr>
            <w:r>
              <w:rPr>
                <w:rFonts w:hint="eastAsia" w:ascii="宋体" w:hAnsi="宋体" w:cs="宋体"/>
                <w:b/>
                <w:color w:val="auto"/>
                <w:szCs w:val="21"/>
                <w:highlight w:val="none"/>
                <w:shd w:val="clear" w:color="auto" w:fill="auto"/>
              </w:rPr>
              <w:t>评审因素与标准</w:t>
            </w:r>
          </w:p>
          <w:p>
            <w:pPr>
              <w:spacing w:line="360" w:lineRule="auto"/>
              <w:jc w:val="center"/>
              <w:rPr>
                <w:rFonts w:ascii="宋体" w:hAnsi="宋体" w:cs="宋体"/>
                <w:b/>
                <w:color w:val="auto"/>
                <w:szCs w:val="21"/>
                <w:highlight w:val="none"/>
                <w:shd w:val="clear" w:color="auto" w:fill="auto"/>
              </w:rPr>
            </w:pPr>
            <w:r>
              <w:rPr>
                <w:rFonts w:hint="eastAsia" w:ascii="宋体" w:hAnsi="宋体" w:cs="宋体"/>
                <w:b/>
                <w:color w:val="auto"/>
                <w:szCs w:val="21"/>
                <w:highlight w:val="none"/>
                <w:shd w:val="clear" w:color="auto" w:fill="auto"/>
              </w:rPr>
              <w:t>评审标准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154" w:hRule="exact"/>
          <w:jc w:val="center"/>
        </w:trPr>
        <w:tc>
          <w:tcPr>
            <w:tcW w:w="757" w:type="dxa"/>
            <w:tcBorders>
              <w:right w:val="single" w:color="auto" w:sz="4" w:space="0"/>
            </w:tcBorders>
            <w:vAlign w:val="center"/>
          </w:tcPr>
          <w:p>
            <w:pPr>
              <w:spacing w:line="360" w:lineRule="auto"/>
              <w:jc w:val="center"/>
              <w:rPr>
                <w:rFonts w:ascii="宋体" w:hAnsi="宋体" w:cs="宋体"/>
                <w:b/>
                <w:color w:val="auto"/>
                <w:szCs w:val="21"/>
                <w:highlight w:val="none"/>
                <w:shd w:val="clear" w:color="auto" w:fill="auto"/>
              </w:rPr>
            </w:pPr>
            <w:r>
              <w:rPr>
                <w:rFonts w:hint="eastAsia" w:ascii="宋体" w:hAnsi="宋体" w:cs="宋体"/>
                <w:bCs/>
                <w:color w:val="auto"/>
                <w:szCs w:val="21"/>
                <w:highlight w:val="none"/>
                <w:shd w:val="clear" w:color="auto" w:fill="auto"/>
              </w:rPr>
              <w:t>1</w:t>
            </w:r>
          </w:p>
        </w:tc>
        <w:tc>
          <w:tcPr>
            <w:tcW w:w="1264" w:type="dxa"/>
            <w:tcBorders>
              <w:left w:val="single" w:color="auto" w:sz="4" w:space="0"/>
            </w:tcBorders>
            <w:vAlign w:val="center"/>
          </w:tcPr>
          <w:p>
            <w:pPr>
              <w:spacing w:line="360" w:lineRule="auto"/>
              <w:jc w:val="center"/>
              <w:rPr>
                <w:rFonts w:ascii="宋体" w:hAnsi="宋体" w:cs="宋体"/>
                <w:bCs/>
                <w:color w:val="auto"/>
                <w:szCs w:val="21"/>
                <w:highlight w:val="none"/>
                <w:shd w:val="clear" w:color="auto" w:fill="auto"/>
              </w:rPr>
            </w:pPr>
            <w:r>
              <w:rPr>
                <w:rFonts w:hint="eastAsia" w:ascii="宋体" w:hAnsi="宋体" w:cs="宋体"/>
                <w:bCs/>
                <w:color w:val="auto"/>
                <w:szCs w:val="21"/>
                <w:highlight w:val="none"/>
                <w:shd w:val="clear" w:color="auto" w:fill="auto"/>
              </w:rPr>
              <w:t>评标办法</w:t>
            </w:r>
          </w:p>
        </w:tc>
        <w:tc>
          <w:tcPr>
            <w:tcW w:w="7051" w:type="dxa"/>
            <w:vAlign w:val="center"/>
          </w:tcPr>
          <w:p>
            <w:pPr>
              <w:spacing w:line="360" w:lineRule="auto"/>
              <w:ind w:right="113" w:firstLine="440" w:firstLineChars="200"/>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综合评分相等时，评标委员会依次按照以下优先顺序推荐中标候选人或确定中标人：</w:t>
            </w:r>
          </w:p>
          <w:p>
            <w:pPr>
              <w:spacing w:line="360" w:lineRule="auto"/>
              <w:ind w:right="113" w:firstLine="440" w:firstLineChars="200"/>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(1)评标价低的优先，当一家以上投标人综合得分相等且评标价也相等时，若各投标人工程量清单细目单价也相同，视为串标(一个合同段仅一工作细目报价的除外)，应否决其投标；</w:t>
            </w:r>
          </w:p>
          <w:p>
            <w:pPr>
              <w:spacing w:line="360" w:lineRule="auto"/>
              <w:ind w:right="113" w:firstLine="440" w:firstLineChars="200"/>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(2)被广东省交通运输厅最新年度评为较高信用等级的投标人优先；【采用如下的优先顺序：承诺使用的AA级投标人、不承诺使用的AA级投标人、承诺使用的A级投标人、不承诺使用的A级投标人、B级投标人、未参评且被确定为B级投标人】</w:t>
            </w:r>
          </w:p>
          <w:p>
            <w:pPr>
              <w:spacing w:line="360" w:lineRule="auto"/>
              <w:ind w:left="113" w:right="113" w:firstLine="220" w:firstLineChars="100"/>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(3)以投标人企业最新年度净资产较高的优先；</w:t>
            </w:r>
          </w:p>
          <w:p>
            <w:pPr>
              <w:spacing w:line="360" w:lineRule="auto"/>
              <w:ind w:left="113" w:right="113" w:firstLine="220" w:firstLineChars="100"/>
              <w:rPr>
                <w:rFonts w:ascii="宋体" w:hAnsi="宋体" w:cs="宋体"/>
                <w:b/>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(4)评标委员会视投标人情况综合比较，投票确定其名次。</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327" w:hRule="atLeast"/>
          <w:jc w:val="center"/>
        </w:trPr>
        <w:tc>
          <w:tcPr>
            <w:tcW w:w="757" w:type="dxa"/>
            <w:tcBorders>
              <w:right w:val="single" w:color="auto" w:sz="4" w:space="0"/>
            </w:tcBorders>
            <w:vAlign w:val="center"/>
          </w:tcPr>
          <w:p>
            <w:pPr>
              <w:spacing w:line="360" w:lineRule="auto"/>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2.1.1</w:t>
            </w:r>
          </w:p>
          <w:p>
            <w:pPr>
              <w:spacing w:line="360" w:lineRule="auto"/>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2.1.3</w:t>
            </w:r>
          </w:p>
        </w:tc>
        <w:tc>
          <w:tcPr>
            <w:tcW w:w="1264" w:type="dxa"/>
            <w:tcBorders>
              <w:left w:val="single" w:color="auto" w:sz="4" w:space="0"/>
            </w:tcBorders>
            <w:vAlign w:val="center"/>
          </w:tcPr>
          <w:p>
            <w:pPr>
              <w:snapToGrid w:val="0"/>
              <w:spacing w:line="360" w:lineRule="auto"/>
              <w:ind w:right="113"/>
              <w:contextualSpacing/>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形式评审与响应性评审标准</w:t>
            </w:r>
          </w:p>
        </w:tc>
        <w:tc>
          <w:tcPr>
            <w:tcW w:w="7051" w:type="dxa"/>
            <w:vAlign w:val="center"/>
          </w:tcPr>
          <w:p>
            <w:pPr>
              <w:spacing w:line="360" w:lineRule="auto"/>
              <w:ind w:right="113" w:firstLine="442" w:firstLineChars="200"/>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第一个信封（商务及技术文件）评审标准：</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（1）投标文件按照招标文件规定的格式、内容填写，字迹清晰可辨：</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a.投标函按招标文件规定填报了项目名称、标段号、补遗书编号（如有）、工期、工程质量要求及安全目标；</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b.投标函附录的所有数据均符合招标文件规定；</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c.投标文件组成齐全完整，内容均按规定填写。</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（2）投标文件上法定代表人</w:t>
            </w:r>
            <w:r>
              <w:rPr>
                <w:rFonts w:hint="eastAsia" w:ascii="宋体" w:hAnsi="宋体" w:cs="宋体"/>
                <w:color w:val="auto"/>
                <w:szCs w:val="21"/>
                <w:highlight w:val="none"/>
                <w:shd w:val="clear" w:color="auto" w:fill="auto"/>
                <w:lang w:eastAsia="zh-CN"/>
              </w:rPr>
              <w:t>、</w:t>
            </w:r>
            <w:r>
              <w:rPr>
                <w:rFonts w:hint="eastAsia" w:ascii="宋体" w:hAnsi="宋体" w:cs="宋体"/>
                <w:color w:val="auto"/>
                <w:szCs w:val="21"/>
                <w:highlight w:val="none"/>
                <w:shd w:val="clear" w:color="auto" w:fill="auto"/>
              </w:rPr>
              <w:t>其委托代理人</w:t>
            </w:r>
            <w:r>
              <w:rPr>
                <w:rFonts w:hint="eastAsia" w:ascii="宋体" w:hAnsi="宋体" w:cs="宋体"/>
                <w:color w:val="auto"/>
                <w:szCs w:val="21"/>
                <w:highlight w:val="none"/>
                <w:shd w:val="clear" w:color="auto" w:fill="auto"/>
                <w:lang w:eastAsia="zh-CN"/>
              </w:rPr>
              <w:t>及其项目经理、项目总工</w:t>
            </w:r>
            <w:r>
              <w:rPr>
                <w:rFonts w:hint="eastAsia" w:ascii="宋体" w:hAnsi="宋体" w:cs="宋体"/>
                <w:color w:val="auto"/>
                <w:szCs w:val="21"/>
                <w:highlight w:val="none"/>
                <w:shd w:val="clear" w:color="auto" w:fill="auto"/>
              </w:rPr>
              <w:t>签字、投标人的单位章盖章齐全，符合招标文件规定。</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（3）投标人按照招标文件的规定提供了投标保证金：</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a.投标保证金金额符合招标文件规定的金额，且投标保证金有效期不少于投标有效期；</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b.若投标保证金采用现金或支票形式提交，投标人应在递交投标文件截止时间之前，将投标保证金由投标人的基本账户转入招标人指定账户；</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c.若投标保证金采用银行保函</w:t>
            </w:r>
            <w:r>
              <w:rPr>
                <w:rFonts w:hint="eastAsia" w:cs="宋体"/>
                <w:color w:val="auto"/>
                <w:szCs w:val="21"/>
                <w:highlight w:val="none"/>
                <w:shd w:val="clear" w:color="auto" w:fill="auto"/>
                <w:lang w:eastAsia="zh-CN"/>
              </w:rPr>
              <w:t>或担保公司保函</w:t>
            </w:r>
            <w:r>
              <w:rPr>
                <w:rFonts w:hint="eastAsia" w:ascii="宋体" w:hAnsi="宋体" w:cs="宋体"/>
                <w:color w:val="auto"/>
                <w:szCs w:val="21"/>
                <w:highlight w:val="none"/>
                <w:shd w:val="clear" w:color="auto" w:fill="auto"/>
              </w:rPr>
              <w:t>形式提交，保函原件在递交</w:t>
            </w:r>
            <w:r>
              <w:rPr>
                <w:rFonts w:hint="eastAsia" w:cs="宋体"/>
                <w:color w:val="auto"/>
                <w:szCs w:val="21"/>
                <w:highlight w:val="none"/>
                <w:shd w:val="clear" w:color="auto" w:fill="auto"/>
                <w:lang w:eastAsia="zh-CN"/>
              </w:rPr>
              <w:t>投标</w:t>
            </w:r>
            <w:r>
              <w:rPr>
                <w:rFonts w:hint="eastAsia" w:ascii="宋体" w:hAnsi="宋体" w:cs="宋体"/>
                <w:color w:val="auto"/>
                <w:szCs w:val="21"/>
                <w:highlight w:val="none"/>
                <w:shd w:val="clear" w:color="auto" w:fill="auto"/>
                <w:lang w:val="en-US" w:eastAsia="zh-CN"/>
              </w:rPr>
              <w:t>电子文件U盘</w:t>
            </w:r>
            <w:r>
              <w:rPr>
                <w:rFonts w:hint="eastAsia" w:ascii="宋体" w:hAnsi="宋体" w:cs="宋体"/>
                <w:color w:val="auto"/>
                <w:szCs w:val="21"/>
                <w:highlight w:val="none"/>
                <w:shd w:val="clear" w:color="auto" w:fill="auto"/>
              </w:rPr>
              <w:t>时</w:t>
            </w:r>
            <w:r>
              <w:rPr>
                <w:rFonts w:hint="eastAsia" w:cs="宋体"/>
                <w:color w:val="auto"/>
                <w:szCs w:val="21"/>
                <w:highlight w:val="none"/>
                <w:shd w:val="clear" w:color="auto" w:fill="auto"/>
                <w:lang w:val="en-US" w:eastAsia="zh-CN"/>
              </w:rPr>
              <w:t>一起</w:t>
            </w:r>
            <w:r>
              <w:rPr>
                <w:rFonts w:hint="eastAsia" w:ascii="宋体" w:hAnsi="宋体" w:cs="宋体"/>
                <w:color w:val="auto"/>
                <w:szCs w:val="21"/>
                <w:highlight w:val="none"/>
                <w:shd w:val="clear" w:color="auto" w:fill="auto"/>
              </w:rPr>
              <w:t>递交，其复印件装订在投标文件中。</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（4）投标人法定代表人授权委托代理人签署投标文件的，需提交授权委托书，且授权人和被授权人均在授权委托书上签名。</w:t>
            </w:r>
          </w:p>
          <w:p>
            <w:pPr>
              <w:spacing w:line="360" w:lineRule="auto"/>
              <w:ind w:left="113"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（5）投标人法定代表人亲自签署投标文件的，提供了法定代表人身份证明，且法定代表人在法定代表人身份证明上签名。</w:t>
            </w:r>
          </w:p>
          <w:p>
            <w:pPr>
              <w:spacing w:line="360" w:lineRule="auto"/>
              <w:ind w:left="113" w:right="113" w:firstLine="222" w:firstLineChars="100"/>
              <w:rPr>
                <w:rFonts w:ascii="宋体" w:hAnsi="宋体" w:cs="宋体"/>
                <w:color w:val="auto"/>
                <w:spacing w:val="1"/>
                <w:szCs w:val="21"/>
                <w:highlight w:val="none"/>
                <w:shd w:val="clear" w:color="auto" w:fill="auto"/>
              </w:rPr>
            </w:pPr>
            <w:r>
              <w:rPr>
                <w:rFonts w:hint="eastAsia" w:ascii="宋体" w:hAnsi="宋体" w:cs="宋体"/>
                <w:color w:val="auto"/>
                <w:spacing w:val="1"/>
                <w:szCs w:val="21"/>
                <w:highlight w:val="none"/>
                <w:shd w:val="clear" w:color="auto" w:fill="auto"/>
              </w:rPr>
              <w:t>（6）投标人如有分包计划，符合招标文件第二章“投标人须知”第1.11款规定，且按招标文件第九章“投标文件格式”的要求填写了“拟分包项目情况表”</w:t>
            </w:r>
            <w:r>
              <w:rPr>
                <w:rFonts w:hint="eastAsia" w:cs="宋体"/>
                <w:color w:val="auto"/>
                <w:spacing w:val="1"/>
                <w:szCs w:val="21"/>
                <w:highlight w:val="none"/>
                <w:shd w:val="clear" w:color="auto" w:fill="auto"/>
                <w:lang w:eastAsia="zh-CN"/>
              </w:rPr>
              <w:t>，无此计划无需填写</w:t>
            </w:r>
            <w:r>
              <w:rPr>
                <w:rFonts w:hint="eastAsia" w:ascii="宋体" w:hAnsi="宋体" w:cs="宋体"/>
                <w:color w:val="auto"/>
                <w:spacing w:val="1"/>
                <w:szCs w:val="21"/>
                <w:highlight w:val="none"/>
                <w:shd w:val="clear" w:color="auto" w:fill="auto"/>
              </w:rPr>
              <w:t>。</w:t>
            </w:r>
          </w:p>
          <w:p>
            <w:pPr>
              <w:spacing w:line="360" w:lineRule="auto"/>
              <w:ind w:left="113" w:right="113" w:firstLine="222" w:firstLineChars="100"/>
              <w:rPr>
                <w:rFonts w:ascii="宋体" w:hAnsi="宋体" w:cs="宋体"/>
                <w:color w:val="auto"/>
                <w:spacing w:val="1"/>
                <w:szCs w:val="21"/>
                <w:highlight w:val="none"/>
                <w:shd w:val="clear" w:color="auto" w:fill="auto"/>
              </w:rPr>
            </w:pPr>
            <w:r>
              <w:rPr>
                <w:rFonts w:hint="eastAsia" w:ascii="宋体" w:hAnsi="宋体" w:cs="宋体"/>
                <w:color w:val="auto"/>
                <w:spacing w:val="1"/>
                <w:szCs w:val="21"/>
                <w:highlight w:val="none"/>
                <w:shd w:val="clear" w:color="auto" w:fill="auto"/>
              </w:rPr>
              <w:t>（</w:t>
            </w:r>
            <w:r>
              <w:rPr>
                <w:rFonts w:hint="eastAsia" w:cs="宋体"/>
                <w:color w:val="auto"/>
                <w:spacing w:val="1"/>
                <w:szCs w:val="21"/>
                <w:highlight w:val="none"/>
                <w:shd w:val="clear" w:color="auto" w:fill="auto"/>
                <w:lang w:val="en-US" w:eastAsia="zh-CN"/>
              </w:rPr>
              <w:t>7</w:t>
            </w:r>
            <w:r>
              <w:rPr>
                <w:rFonts w:hint="eastAsia" w:ascii="宋体" w:hAnsi="宋体" w:cs="宋体"/>
                <w:color w:val="auto"/>
                <w:spacing w:val="1"/>
                <w:szCs w:val="21"/>
                <w:highlight w:val="none"/>
                <w:shd w:val="clear" w:color="auto" w:fill="auto"/>
              </w:rPr>
              <w:t>）投标文件中未出现有关投标报价的内容。</w:t>
            </w:r>
          </w:p>
          <w:p>
            <w:pPr>
              <w:spacing w:line="360" w:lineRule="auto"/>
              <w:ind w:left="113" w:right="113" w:firstLine="222" w:firstLineChars="100"/>
              <w:rPr>
                <w:rFonts w:ascii="宋体" w:hAnsi="宋体" w:cs="宋体"/>
                <w:color w:val="auto"/>
                <w:spacing w:val="1"/>
                <w:szCs w:val="21"/>
                <w:highlight w:val="none"/>
                <w:shd w:val="clear" w:color="auto" w:fill="auto"/>
              </w:rPr>
            </w:pPr>
            <w:r>
              <w:rPr>
                <w:rFonts w:hint="eastAsia" w:ascii="宋体" w:hAnsi="宋体" w:cs="宋体"/>
                <w:color w:val="auto"/>
                <w:spacing w:val="1"/>
                <w:szCs w:val="21"/>
                <w:highlight w:val="none"/>
                <w:shd w:val="clear" w:color="auto" w:fill="auto"/>
              </w:rPr>
              <w:t>（</w:t>
            </w:r>
            <w:r>
              <w:rPr>
                <w:rFonts w:hint="eastAsia" w:cs="宋体"/>
                <w:color w:val="auto"/>
                <w:spacing w:val="1"/>
                <w:szCs w:val="21"/>
                <w:highlight w:val="none"/>
                <w:shd w:val="clear" w:color="auto" w:fill="auto"/>
                <w:lang w:val="en-US" w:eastAsia="zh-CN"/>
              </w:rPr>
              <w:t>8</w:t>
            </w:r>
            <w:r>
              <w:rPr>
                <w:rFonts w:hint="eastAsia" w:ascii="宋体" w:hAnsi="宋体" w:cs="宋体"/>
                <w:color w:val="auto"/>
                <w:spacing w:val="1"/>
                <w:szCs w:val="21"/>
                <w:highlight w:val="none"/>
                <w:shd w:val="clear" w:color="auto" w:fill="auto"/>
              </w:rPr>
              <w:t>）投标文件载明的招标项目完成期限未超过招标文件规定的时限。</w:t>
            </w:r>
          </w:p>
          <w:p>
            <w:pPr>
              <w:spacing w:line="360" w:lineRule="auto"/>
              <w:ind w:left="113" w:right="113" w:firstLine="222" w:firstLineChars="100"/>
              <w:rPr>
                <w:rFonts w:ascii="宋体" w:hAnsi="宋体" w:cs="宋体"/>
                <w:color w:val="auto"/>
                <w:spacing w:val="1"/>
                <w:szCs w:val="21"/>
                <w:highlight w:val="none"/>
                <w:shd w:val="clear" w:color="auto" w:fill="auto"/>
              </w:rPr>
            </w:pPr>
            <w:r>
              <w:rPr>
                <w:rFonts w:hint="eastAsia" w:ascii="宋体" w:hAnsi="宋体" w:cs="宋体"/>
                <w:color w:val="auto"/>
                <w:spacing w:val="1"/>
                <w:szCs w:val="21"/>
                <w:highlight w:val="none"/>
                <w:shd w:val="clear" w:color="auto" w:fill="auto"/>
              </w:rPr>
              <w:t>（</w:t>
            </w:r>
            <w:r>
              <w:rPr>
                <w:rFonts w:hint="eastAsia" w:cs="宋体"/>
                <w:color w:val="auto"/>
                <w:spacing w:val="1"/>
                <w:szCs w:val="21"/>
                <w:highlight w:val="none"/>
                <w:shd w:val="clear" w:color="auto" w:fill="auto"/>
                <w:lang w:val="en-US" w:eastAsia="zh-CN"/>
              </w:rPr>
              <w:t>9</w:t>
            </w:r>
            <w:r>
              <w:rPr>
                <w:rFonts w:hint="eastAsia" w:ascii="宋体" w:hAnsi="宋体" w:cs="宋体"/>
                <w:color w:val="auto"/>
                <w:spacing w:val="1"/>
                <w:szCs w:val="21"/>
                <w:highlight w:val="none"/>
                <w:shd w:val="clear" w:color="auto" w:fill="auto"/>
              </w:rPr>
              <w:t>）投标文件对招标文件的实质性要求和条件作出响应。</w:t>
            </w:r>
          </w:p>
          <w:p>
            <w:pPr>
              <w:spacing w:line="360" w:lineRule="auto"/>
              <w:ind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10</w:t>
            </w:r>
            <w:r>
              <w:rPr>
                <w:rFonts w:hint="eastAsia" w:ascii="宋体" w:hAnsi="宋体" w:cs="宋体"/>
                <w:color w:val="auto"/>
                <w:szCs w:val="21"/>
                <w:highlight w:val="none"/>
                <w:shd w:val="clear" w:color="auto" w:fill="auto"/>
              </w:rPr>
              <w:t>）投标文件份数符合招标文件第二章“投标人须知”第3.7.4项规定。</w:t>
            </w:r>
          </w:p>
          <w:p>
            <w:pPr>
              <w:spacing w:line="360" w:lineRule="auto"/>
              <w:ind w:right="113" w:firstLine="220" w:firstLine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11</w:t>
            </w:r>
            <w:r>
              <w:rPr>
                <w:rFonts w:hint="eastAsia" w:ascii="宋体" w:hAnsi="宋体" w:cs="宋体"/>
                <w:color w:val="auto"/>
                <w:szCs w:val="21"/>
                <w:highlight w:val="none"/>
                <w:shd w:val="clear" w:color="auto" w:fill="auto"/>
              </w:rPr>
              <w:t>）投标文件未附有招标人不能接受的条件。</w:t>
            </w:r>
          </w:p>
          <w:p>
            <w:pPr>
              <w:spacing w:line="360" w:lineRule="auto"/>
              <w:ind w:right="113" w:firstLine="221" w:firstLineChars="100"/>
              <w:rPr>
                <w:rFonts w:ascii="宋体" w:hAnsi="宋体" w:cs="宋体"/>
                <w:color w:val="auto"/>
                <w:szCs w:val="21"/>
                <w:highlight w:val="none"/>
                <w:shd w:val="clear" w:color="auto" w:fill="auto"/>
              </w:rPr>
            </w:pPr>
            <w:r>
              <w:rPr>
                <w:rFonts w:hint="eastAsia" w:ascii="宋体" w:hAnsi="宋体" w:cs="宋体"/>
                <w:b/>
                <w:bCs/>
                <w:color w:val="auto"/>
                <w:szCs w:val="21"/>
                <w:highlight w:val="none"/>
                <w:shd w:val="clear" w:color="auto" w:fill="auto"/>
              </w:rPr>
              <w:t>第二个信封（报价文件）评审标准：</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（1）投标文件按照招标文件规定的格式、内容填写，字迹清晰可辨：</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a.投标函按招标文件规定填报了项目名称、标段号、补遗书编号（如有）、投标价（包括大写金额和小写金额）；</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b.已标价工程量清单说明文字与招标文件规定一致，未进行实质性修改和删减；</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c.投标文件组成齐全完整，内容均按规定填写。</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（2）投标文件上法定代表人或其委托代理人的签字、投标人的单位章盖章齐全，符合招标文件规定。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（3）投标报价或调价函中的报价未超过招标文件设定的最高投标限价（如有）。</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（4）投标报价或调价函中报价的大写金额能够确定具体数值。</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5</w:t>
            </w:r>
            <w:r>
              <w:rPr>
                <w:rFonts w:hint="eastAsia" w:ascii="宋体" w:hAnsi="宋体" w:cs="宋体"/>
                <w:color w:val="auto"/>
                <w:szCs w:val="21"/>
                <w:highlight w:val="none"/>
                <w:shd w:val="clear" w:color="auto" w:fill="auto"/>
              </w:rPr>
              <w:t>）投标人若提交调价函，调价函符合招标文件第二章“投标人须知”第3.2.6项要求。</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6</w:t>
            </w:r>
            <w:r>
              <w:rPr>
                <w:rFonts w:hint="eastAsia" w:ascii="宋体" w:hAnsi="宋体" w:cs="宋体"/>
                <w:color w:val="auto"/>
                <w:szCs w:val="21"/>
                <w:highlight w:val="none"/>
                <w:shd w:val="clear" w:color="auto" w:fill="auto"/>
              </w:rPr>
              <w:t>）投标人若填写工程量固化清单，填写完毕的工程量固化清单未对工程量固化清单电子文件中的数据、格式进行修改；工程量固化清单中的投标报价和投标函大写金额报价一致。</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7</w:t>
            </w:r>
            <w:r>
              <w:rPr>
                <w:rFonts w:hint="eastAsia" w:ascii="宋体" w:hAnsi="宋体" w:cs="宋体"/>
                <w:color w:val="auto"/>
                <w:szCs w:val="21"/>
                <w:highlight w:val="none"/>
                <w:shd w:val="clear" w:color="auto" w:fill="auto"/>
              </w:rPr>
              <w:t>）投标文件份数符合招标文件第二章“投标人须知”第3.7.4项规定。</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981" w:hRule="atLeast"/>
          <w:jc w:val="center"/>
        </w:trPr>
        <w:tc>
          <w:tcPr>
            <w:tcW w:w="757" w:type="dxa"/>
            <w:vAlign w:val="center"/>
          </w:tcPr>
          <w:p>
            <w:pPr>
              <w:spacing w:line="360" w:lineRule="auto"/>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2.1.2</w:t>
            </w:r>
          </w:p>
        </w:tc>
        <w:tc>
          <w:tcPr>
            <w:tcW w:w="1264" w:type="dxa"/>
            <w:vAlign w:val="center"/>
          </w:tcPr>
          <w:p>
            <w:pPr>
              <w:snapToGrid w:val="0"/>
              <w:spacing w:line="360" w:lineRule="auto"/>
              <w:ind w:right="113"/>
              <w:contextualSpacing/>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资格评审标准</w:t>
            </w:r>
          </w:p>
        </w:tc>
        <w:tc>
          <w:tcPr>
            <w:tcW w:w="7051" w:type="dxa"/>
            <w:vAlign w:val="center"/>
          </w:tcPr>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（1）投标人具备有效的营业执照、资质证书、安全生产许可证和基本账户开户许可证</w:t>
            </w:r>
            <w:r>
              <w:rPr>
                <w:rFonts w:hint="eastAsia" w:cs="宋体"/>
                <w:color w:val="auto"/>
                <w:szCs w:val="21"/>
                <w:highlight w:val="none"/>
                <w:shd w:val="clear" w:color="auto" w:fill="auto"/>
                <w:lang w:eastAsia="zh-CN"/>
              </w:rPr>
              <w:t>（</w:t>
            </w:r>
            <w:r>
              <w:rPr>
                <w:rFonts w:hint="eastAsia" w:ascii="宋体" w:hAnsi="宋体" w:cs="宋体"/>
                <w:color w:val="auto"/>
                <w:szCs w:val="21"/>
                <w:highlight w:val="none"/>
                <w:shd w:val="clear" w:color="auto" w:fill="auto"/>
              </w:rPr>
              <w:t>基本账户</w:t>
            </w:r>
            <w:r>
              <w:rPr>
                <w:rFonts w:hint="eastAsia" w:cs="宋体"/>
                <w:color w:val="auto"/>
                <w:szCs w:val="21"/>
                <w:highlight w:val="none"/>
                <w:shd w:val="clear" w:color="auto" w:fill="auto"/>
                <w:lang w:eastAsia="zh-CN"/>
              </w:rPr>
              <w:t>开户信息）</w:t>
            </w:r>
            <w:r>
              <w:rPr>
                <w:rFonts w:hint="eastAsia" w:ascii="宋体" w:hAnsi="宋体" w:cs="宋体"/>
                <w:color w:val="auto"/>
                <w:szCs w:val="21"/>
                <w:highlight w:val="none"/>
                <w:shd w:val="clear" w:color="auto" w:fill="auto"/>
              </w:rPr>
              <w:t>。</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（2）投标人的资质等级符合招标文件规定。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（3）投标人的财务状况符合招标文件规定。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（4）投标人的类似项目业绩符合招标文件规定。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（5）投标人的信誉符合招标文件规定。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（6）投标人的项目经理和项目总工资格、在岗情况符合招标文件规定。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（7）投标人的其他要求符合招标文件规定。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（8）投标人不存在第二章“投标人须知”第1.4.3项或第1.4.4项规定的任何一种情形。</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（9）投标人符合第二章“投标人须知”第1.4.5项规定。</w:t>
            </w:r>
          </w:p>
        </w:tc>
      </w:tr>
    </w:tbl>
    <w:p>
      <w:pPr>
        <w:spacing w:line="360" w:lineRule="auto"/>
        <w:rPr>
          <w:rFonts w:ascii="宋体" w:hAnsi="宋体" w:cs="宋体"/>
          <w:color w:val="auto"/>
          <w:szCs w:val="21"/>
          <w:highlight w:val="none"/>
          <w:shd w:val="clear" w:color="auto" w:fill="auto"/>
        </w:rPr>
      </w:pPr>
    </w:p>
    <w:p>
      <w:pPr>
        <w:rPr>
          <w:rFonts w:ascii="宋体" w:hAnsi="宋体" w:cs="宋体"/>
          <w:color w:val="auto"/>
          <w:sz w:val="24"/>
          <w:highlight w:val="none"/>
          <w:shd w:val="clear" w:color="auto" w:fill="auto"/>
        </w:rPr>
      </w:pPr>
      <w:r>
        <w:rPr>
          <w:rFonts w:ascii="宋体" w:hAnsi="宋体" w:cs="宋体"/>
          <w:color w:val="auto"/>
          <w:sz w:val="24"/>
          <w:highlight w:val="none"/>
          <w:shd w:val="clear" w:color="auto" w:fill="auto"/>
        </w:rPr>
        <w:br w:type="page"/>
      </w:r>
    </w:p>
    <w:tbl>
      <w:tblPr>
        <w:tblStyle w:val="25"/>
        <w:tblpPr w:leftFromText="180" w:rightFromText="180" w:vertAnchor="text" w:horzAnchor="page" w:tblpX="1517" w:tblpY="116"/>
        <w:tblOverlap w:val="never"/>
        <w:tblW w:w="9241" w:type="dxa"/>
        <w:tblInd w:w="-15"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920"/>
        <w:gridCol w:w="1612"/>
        <w:gridCol w:w="6709"/>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c>
          <w:tcPr>
            <w:tcW w:w="920" w:type="dxa"/>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b/>
                <w:color w:val="auto"/>
                <w:szCs w:val="21"/>
                <w:highlight w:val="none"/>
                <w:shd w:val="clear" w:color="auto" w:fill="auto"/>
              </w:rPr>
              <w:t>条款号</w:t>
            </w:r>
          </w:p>
        </w:tc>
        <w:tc>
          <w:tcPr>
            <w:tcW w:w="1612" w:type="dxa"/>
            <w:tcBorders>
              <w:right w:val="single" w:color="auto" w:sz="4" w:space="0"/>
            </w:tcBorders>
            <w:vAlign w:val="center"/>
          </w:tcPr>
          <w:p>
            <w:pPr>
              <w:spacing w:line="360" w:lineRule="auto"/>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条款内容</w:t>
            </w:r>
          </w:p>
        </w:tc>
        <w:tc>
          <w:tcPr>
            <w:tcW w:w="6709" w:type="dxa"/>
            <w:tcBorders>
              <w:left w:val="single" w:color="auto" w:sz="4" w:space="0"/>
            </w:tcBorders>
            <w:vAlign w:val="center"/>
          </w:tcPr>
          <w:p>
            <w:pPr>
              <w:spacing w:line="360" w:lineRule="auto"/>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编列内容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491" w:hRule="atLeast"/>
        </w:trPr>
        <w:tc>
          <w:tcPr>
            <w:tcW w:w="920" w:type="dxa"/>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2.2.1</w:t>
            </w:r>
          </w:p>
        </w:tc>
        <w:tc>
          <w:tcPr>
            <w:tcW w:w="1612" w:type="dxa"/>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分值构成</w:t>
            </w:r>
          </w:p>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（总分100分）</w:t>
            </w:r>
          </w:p>
        </w:tc>
        <w:tc>
          <w:tcPr>
            <w:tcW w:w="6709" w:type="dxa"/>
            <w:vAlign w:val="center"/>
          </w:tcPr>
          <w:p>
            <w:pPr>
              <w:spacing w:line="360" w:lineRule="auto"/>
              <w:rPr>
                <w:rFonts w:ascii="宋体" w:hAnsi="宋体"/>
                <w:color w:val="auto"/>
                <w:sz w:val="21"/>
                <w:szCs w:val="21"/>
                <w:highlight w:val="none"/>
                <w:shd w:val="clear" w:color="auto" w:fill="auto"/>
              </w:rPr>
            </w:pPr>
            <w:r>
              <w:rPr>
                <w:rFonts w:hint="eastAsia" w:ascii="宋体" w:hAnsi="宋体"/>
                <w:color w:val="auto"/>
                <w:sz w:val="21"/>
                <w:szCs w:val="21"/>
                <w:highlight w:val="none"/>
                <w:shd w:val="clear" w:color="auto" w:fill="auto"/>
                <w:lang w:val="en-US" w:eastAsia="zh-CN"/>
              </w:rPr>
              <w:t>第一个信封(商务及技术文件)评分分值构成：</w:t>
            </w:r>
          </w:p>
          <w:p>
            <w:pPr>
              <w:spacing w:line="360" w:lineRule="auto"/>
              <w:ind w:firstLine="210" w:firstLineChars="100"/>
              <w:rPr>
                <w:rFonts w:ascii="宋体" w:hAnsi="宋体"/>
                <w:color w:val="auto"/>
                <w:sz w:val="21"/>
                <w:szCs w:val="21"/>
                <w:highlight w:val="none"/>
                <w:shd w:val="clear" w:color="auto" w:fill="auto"/>
              </w:rPr>
            </w:pPr>
            <w:r>
              <w:rPr>
                <w:rFonts w:ascii="宋体" w:hAnsi="宋体"/>
                <w:color w:val="auto"/>
                <w:sz w:val="21"/>
                <w:szCs w:val="21"/>
                <w:highlight w:val="none"/>
                <w:shd w:val="clear" w:color="auto" w:fill="auto"/>
              </w:rPr>
              <w:t>施工组织设计</w:t>
            </w:r>
            <w:r>
              <w:rPr>
                <w:rFonts w:hint="eastAsia" w:ascii="宋体" w:hAnsi="宋体"/>
                <w:color w:val="auto"/>
                <w:sz w:val="21"/>
                <w:szCs w:val="21"/>
                <w:highlight w:val="none"/>
                <w:shd w:val="clear" w:color="auto" w:fill="auto"/>
              </w:rPr>
              <w:t>（A）</w:t>
            </w:r>
            <w:r>
              <w:rPr>
                <w:rFonts w:ascii="宋体" w:hAnsi="宋体"/>
                <w:color w:val="auto"/>
                <w:sz w:val="21"/>
                <w:szCs w:val="21"/>
                <w:highlight w:val="none"/>
                <w:shd w:val="clear" w:color="auto" w:fill="auto"/>
              </w:rPr>
              <w:t>：</w:t>
            </w:r>
            <w:r>
              <w:rPr>
                <w:rFonts w:hint="eastAsia"/>
                <w:color w:val="auto"/>
                <w:sz w:val="21"/>
                <w:szCs w:val="21"/>
                <w:highlight w:val="none"/>
                <w:u w:val="single"/>
                <w:shd w:val="clear" w:color="auto" w:fill="auto"/>
                <w:lang w:val="en-US" w:eastAsia="zh-CN"/>
              </w:rPr>
              <w:t>7</w:t>
            </w:r>
            <w:r>
              <w:rPr>
                <w:rFonts w:hint="eastAsia" w:ascii="宋体" w:hAnsi="宋体"/>
                <w:color w:val="auto"/>
                <w:sz w:val="21"/>
                <w:szCs w:val="21"/>
                <w:highlight w:val="none"/>
                <w:shd w:val="clear" w:color="auto" w:fill="auto"/>
              </w:rPr>
              <w:t>分</w:t>
            </w:r>
          </w:p>
          <w:p>
            <w:pPr>
              <w:spacing w:line="360" w:lineRule="auto"/>
              <w:ind w:firstLine="210" w:firstLineChars="100"/>
              <w:rPr>
                <w:rFonts w:ascii="宋体" w:hAnsi="宋体"/>
                <w:color w:val="auto"/>
                <w:sz w:val="21"/>
                <w:szCs w:val="21"/>
                <w:highlight w:val="none"/>
                <w:shd w:val="clear" w:color="auto" w:fill="auto"/>
              </w:rPr>
            </w:pPr>
            <w:r>
              <w:rPr>
                <w:rFonts w:hint="eastAsia" w:ascii="宋体" w:hAnsi="宋体"/>
                <w:color w:val="auto"/>
                <w:sz w:val="21"/>
                <w:szCs w:val="21"/>
                <w:highlight w:val="none"/>
                <w:shd w:val="clear" w:color="auto" w:fill="auto"/>
                <w:lang w:val="en-US" w:eastAsia="zh-CN"/>
              </w:rPr>
              <w:t>主要人员</w:t>
            </w:r>
            <w:r>
              <w:rPr>
                <w:rFonts w:hint="eastAsia" w:ascii="宋体" w:hAnsi="宋体"/>
                <w:color w:val="auto"/>
                <w:sz w:val="21"/>
                <w:szCs w:val="21"/>
                <w:highlight w:val="none"/>
                <w:shd w:val="clear" w:color="auto" w:fill="auto"/>
              </w:rPr>
              <w:t>(B)</w:t>
            </w:r>
            <w:r>
              <w:rPr>
                <w:rFonts w:ascii="宋体" w:hAnsi="宋体"/>
                <w:color w:val="auto"/>
                <w:sz w:val="21"/>
                <w:szCs w:val="21"/>
                <w:highlight w:val="none"/>
                <w:shd w:val="clear" w:color="auto" w:fill="auto"/>
              </w:rPr>
              <w:t>：</w:t>
            </w:r>
            <w:r>
              <w:rPr>
                <w:rFonts w:hint="eastAsia"/>
                <w:color w:val="auto"/>
                <w:sz w:val="21"/>
                <w:szCs w:val="21"/>
                <w:highlight w:val="none"/>
                <w:u w:val="single"/>
                <w:shd w:val="clear" w:color="auto" w:fill="auto"/>
                <w:lang w:val="en-US" w:eastAsia="zh-CN"/>
              </w:rPr>
              <w:t>0</w:t>
            </w:r>
            <w:r>
              <w:rPr>
                <w:rFonts w:hint="eastAsia" w:ascii="宋体" w:hAnsi="宋体"/>
                <w:color w:val="auto"/>
                <w:sz w:val="21"/>
                <w:szCs w:val="21"/>
                <w:highlight w:val="none"/>
                <w:shd w:val="clear" w:color="auto" w:fill="auto"/>
              </w:rPr>
              <w:t>分</w:t>
            </w:r>
          </w:p>
          <w:p>
            <w:pPr>
              <w:spacing w:line="360" w:lineRule="auto"/>
              <w:ind w:firstLine="210" w:firstLineChars="100"/>
              <w:rPr>
                <w:rFonts w:ascii="宋体" w:hAnsi="宋体"/>
                <w:color w:val="auto"/>
                <w:sz w:val="21"/>
                <w:szCs w:val="21"/>
                <w:highlight w:val="none"/>
                <w:shd w:val="clear" w:color="auto" w:fill="auto"/>
              </w:rPr>
            </w:pPr>
            <w:r>
              <w:rPr>
                <w:rFonts w:hint="eastAsia" w:ascii="宋体" w:hAnsi="宋体"/>
                <w:color w:val="auto"/>
                <w:sz w:val="21"/>
                <w:szCs w:val="21"/>
                <w:highlight w:val="none"/>
                <w:shd w:val="clear" w:color="auto" w:fill="auto"/>
              </w:rPr>
              <w:t>其他因素(</w:t>
            </w:r>
            <w:r>
              <w:rPr>
                <w:rFonts w:hint="eastAsia"/>
                <w:color w:val="auto"/>
                <w:sz w:val="21"/>
                <w:szCs w:val="21"/>
                <w:highlight w:val="none"/>
                <w:shd w:val="clear" w:color="auto" w:fill="auto"/>
                <w:lang w:val="en-US" w:eastAsia="zh-CN"/>
              </w:rPr>
              <w:t>D</w:t>
            </w:r>
            <w:r>
              <w:rPr>
                <w:rFonts w:hint="eastAsia" w:ascii="宋体" w:hAnsi="宋体"/>
                <w:color w:val="auto"/>
                <w:sz w:val="21"/>
                <w:szCs w:val="21"/>
                <w:highlight w:val="none"/>
                <w:shd w:val="clear" w:color="auto" w:fill="auto"/>
              </w:rPr>
              <w:t>)</w:t>
            </w:r>
          </w:p>
          <w:p>
            <w:pPr>
              <w:spacing w:line="360" w:lineRule="auto"/>
              <w:ind w:firstLine="210" w:firstLineChars="100"/>
              <w:rPr>
                <w:rFonts w:hint="eastAsia" w:ascii="宋体" w:hAnsi="宋体"/>
                <w:color w:val="auto"/>
                <w:sz w:val="21"/>
                <w:szCs w:val="21"/>
                <w:highlight w:val="none"/>
                <w:shd w:val="clear" w:color="auto" w:fill="auto"/>
              </w:rPr>
            </w:pPr>
            <w:r>
              <w:rPr>
                <w:rFonts w:hint="eastAsia"/>
                <w:color w:val="auto"/>
                <w:sz w:val="21"/>
                <w:szCs w:val="21"/>
                <w:highlight w:val="none"/>
                <w:shd w:val="clear" w:color="auto" w:fill="auto"/>
                <w:lang w:eastAsia="zh-CN"/>
              </w:rPr>
              <w:t>（</w:t>
            </w:r>
            <w:r>
              <w:rPr>
                <w:rFonts w:hint="eastAsia"/>
                <w:color w:val="auto"/>
                <w:sz w:val="21"/>
                <w:szCs w:val="21"/>
                <w:highlight w:val="none"/>
                <w:shd w:val="clear" w:color="auto" w:fill="auto"/>
                <w:lang w:val="en-US" w:eastAsia="zh-CN"/>
              </w:rPr>
              <w:t>1</w:t>
            </w:r>
            <w:r>
              <w:rPr>
                <w:rFonts w:hint="eastAsia"/>
                <w:color w:val="auto"/>
                <w:sz w:val="21"/>
                <w:szCs w:val="21"/>
                <w:highlight w:val="none"/>
                <w:shd w:val="clear" w:color="auto" w:fill="auto"/>
                <w:lang w:eastAsia="zh-CN"/>
              </w:rPr>
              <w:t>）</w:t>
            </w:r>
            <w:r>
              <w:rPr>
                <w:rFonts w:hint="eastAsia" w:ascii="宋体" w:hAnsi="宋体"/>
                <w:color w:val="auto"/>
                <w:sz w:val="21"/>
                <w:szCs w:val="21"/>
                <w:highlight w:val="none"/>
                <w:shd w:val="clear" w:color="auto" w:fill="auto"/>
              </w:rPr>
              <w:t>技术能力：</w:t>
            </w:r>
            <w:r>
              <w:rPr>
                <w:rFonts w:hint="eastAsia"/>
                <w:color w:val="auto"/>
                <w:kern w:val="2"/>
                <w:sz w:val="21"/>
                <w:szCs w:val="21"/>
                <w:highlight w:val="none"/>
                <w:u w:val="single"/>
                <w:shd w:val="clear" w:color="auto" w:fill="auto"/>
                <w:lang w:val="en-US" w:eastAsia="zh-CN"/>
              </w:rPr>
              <w:t>0</w:t>
            </w:r>
            <w:r>
              <w:rPr>
                <w:rFonts w:hint="eastAsia" w:ascii="宋体" w:hAnsi="宋体"/>
                <w:color w:val="auto"/>
                <w:sz w:val="21"/>
                <w:szCs w:val="21"/>
                <w:highlight w:val="none"/>
                <w:shd w:val="clear" w:color="auto" w:fill="auto"/>
              </w:rPr>
              <w:t>分</w:t>
            </w:r>
          </w:p>
          <w:p>
            <w:pPr>
              <w:pStyle w:val="24"/>
              <w:ind w:firstLine="210" w:firstLineChars="100"/>
              <w:rPr>
                <w:rFonts w:hint="eastAsia" w:ascii="宋体" w:hAnsi="宋体"/>
                <w:color w:val="auto"/>
                <w:kern w:val="2"/>
                <w:sz w:val="21"/>
                <w:szCs w:val="21"/>
                <w:highlight w:val="none"/>
                <w:shd w:val="clear" w:color="auto" w:fill="auto"/>
              </w:rPr>
            </w:pPr>
            <w:r>
              <w:rPr>
                <w:rFonts w:hint="eastAsia"/>
                <w:color w:val="auto"/>
                <w:kern w:val="2"/>
                <w:sz w:val="21"/>
                <w:szCs w:val="21"/>
                <w:highlight w:val="none"/>
                <w:shd w:val="clear" w:color="auto" w:fill="auto"/>
                <w:lang w:eastAsia="zh-CN"/>
              </w:rPr>
              <w:t>（</w:t>
            </w:r>
            <w:r>
              <w:rPr>
                <w:rFonts w:hint="eastAsia"/>
                <w:color w:val="auto"/>
                <w:kern w:val="2"/>
                <w:sz w:val="21"/>
                <w:szCs w:val="21"/>
                <w:highlight w:val="none"/>
                <w:shd w:val="clear" w:color="auto" w:fill="auto"/>
                <w:lang w:val="en-US" w:eastAsia="zh-CN"/>
              </w:rPr>
              <w:t>2</w:t>
            </w:r>
            <w:r>
              <w:rPr>
                <w:rFonts w:hint="eastAsia"/>
                <w:color w:val="auto"/>
                <w:kern w:val="2"/>
                <w:sz w:val="21"/>
                <w:szCs w:val="21"/>
                <w:highlight w:val="none"/>
                <w:shd w:val="clear" w:color="auto" w:fill="auto"/>
                <w:lang w:eastAsia="zh-CN"/>
              </w:rPr>
              <w:t>）</w:t>
            </w:r>
            <w:r>
              <w:rPr>
                <w:rFonts w:hint="eastAsia"/>
                <w:color w:val="auto"/>
                <w:kern w:val="2"/>
                <w:sz w:val="21"/>
                <w:szCs w:val="21"/>
                <w:highlight w:val="none"/>
                <w:shd w:val="clear" w:color="auto" w:fill="auto"/>
                <w:lang w:val="en-US" w:eastAsia="zh-CN"/>
              </w:rPr>
              <w:t>财务能力</w:t>
            </w:r>
            <w:r>
              <w:rPr>
                <w:rFonts w:ascii="宋体" w:hAnsi="宋体"/>
                <w:color w:val="auto"/>
                <w:kern w:val="2"/>
                <w:sz w:val="21"/>
                <w:szCs w:val="21"/>
                <w:highlight w:val="none"/>
                <w:shd w:val="clear" w:color="auto" w:fill="auto"/>
              </w:rPr>
              <w:t>：</w:t>
            </w:r>
            <w:r>
              <w:rPr>
                <w:rFonts w:hint="eastAsia"/>
                <w:color w:val="auto"/>
                <w:kern w:val="2"/>
                <w:sz w:val="21"/>
                <w:szCs w:val="21"/>
                <w:highlight w:val="none"/>
                <w:u w:val="single"/>
                <w:shd w:val="clear" w:color="auto" w:fill="auto"/>
                <w:lang w:val="en-US" w:eastAsia="zh-CN"/>
              </w:rPr>
              <w:t>1</w:t>
            </w:r>
            <w:r>
              <w:rPr>
                <w:rFonts w:hint="eastAsia" w:ascii="宋体" w:hAnsi="宋体"/>
                <w:color w:val="auto"/>
                <w:kern w:val="2"/>
                <w:sz w:val="21"/>
                <w:szCs w:val="21"/>
                <w:highlight w:val="none"/>
                <w:shd w:val="clear" w:color="auto" w:fill="auto"/>
              </w:rPr>
              <w:t>分</w:t>
            </w:r>
          </w:p>
          <w:p>
            <w:pPr>
              <w:pStyle w:val="24"/>
              <w:ind w:firstLine="210" w:firstLineChars="100"/>
              <w:rPr>
                <w:rFonts w:hint="eastAsia" w:ascii="宋体" w:hAnsi="宋体"/>
                <w:color w:val="auto"/>
                <w:kern w:val="2"/>
                <w:sz w:val="21"/>
                <w:szCs w:val="21"/>
                <w:highlight w:val="none"/>
                <w:shd w:val="clear" w:color="auto" w:fill="auto"/>
              </w:rPr>
            </w:pPr>
            <w:r>
              <w:rPr>
                <w:rFonts w:hint="eastAsia"/>
                <w:color w:val="auto"/>
                <w:kern w:val="2"/>
                <w:sz w:val="21"/>
                <w:szCs w:val="21"/>
                <w:highlight w:val="none"/>
                <w:shd w:val="clear" w:color="auto" w:fill="auto"/>
                <w:lang w:eastAsia="zh-CN"/>
              </w:rPr>
              <w:t>（</w:t>
            </w:r>
            <w:r>
              <w:rPr>
                <w:rFonts w:hint="eastAsia"/>
                <w:color w:val="auto"/>
                <w:kern w:val="2"/>
                <w:sz w:val="21"/>
                <w:szCs w:val="21"/>
                <w:highlight w:val="none"/>
                <w:shd w:val="clear" w:color="auto" w:fill="auto"/>
                <w:lang w:val="en-US" w:eastAsia="zh-CN"/>
              </w:rPr>
              <w:t>3</w:t>
            </w:r>
            <w:r>
              <w:rPr>
                <w:rFonts w:hint="eastAsia"/>
                <w:color w:val="auto"/>
                <w:kern w:val="2"/>
                <w:sz w:val="21"/>
                <w:szCs w:val="21"/>
                <w:highlight w:val="none"/>
                <w:shd w:val="clear" w:color="auto" w:fill="auto"/>
                <w:lang w:eastAsia="zh-CN"/>
              </w:rPr>
              <w:t>）</w:t>
            </w:r>
            <w:r>
              <w:rPr>
                <w:rFonts w:hint="eastAsia"/>
                <w:color w:val="auto"/>
                <w:kern w:val="2"/>
                <w:sz w:val="21"/>
                <w:szCs w:val="21"/>
                <w:highlight w:val="none"/>
                <w:shd w:val="clear" w:color="auto" w:fill="auto"/>
                <w:lang w:val="en-US" w:eastAsia="zh-CN"/>
              </w:rPr>
              <w:t>业绩</w:t>
            </w:r>
            <w:r>
              <w:rPr>
                <w:rFonts w:ascii="宋体" w:hAnsi="宋体"/>
                <w:color w:val="auto"/>
                <w:kern w:val="2"/>
                <w:sz w:val="21"/>
                <w:szCs w:val="21"/>
                <w:highlight w:val="none"/>
                <w:shd w:val="clear" w:color="auto" w:fill="auto"/>
              </w:rPr>
              <w:t>：</w:t>
            </w:r>
            <w:r>
              <w:rPr>
                <w:rFonts w:hint="eastAsia"/>
                <w:color w:val="auto"/>
                <w:kern w:val="2"/>
                <w:sz w:val="21"/>
                <w:szCs w:val="21"/>
                <w:highlight w:val="none"/>
                <w:u w:val="single"/>
                <w:shd w:val="clear" w:color="auto" w:fill="auto"/>
                <w:lang w:val="en-US" w:eastAsia="zh-CN"/>
              </w:rPr>
              <w:t>2</w:t>
            </w:r>
            <w:r>
              <w:rPr>
                <w:rFonts w:hint="eastAsia" w:ascii="宋体" w:hAnsi="宋体"/>
                <w:color w:val="auto"/>
                <w:kern w:val="2"/>
                <w:sz w:val="21"/>
                <w:szCs w:val="21"/>
                <w:highlight w:val="none"/>
                <w:shd w:val="clear" w:color="auto" w:fill="auto"/>
              </w:rPr>
              <w:t>分</w:t>
            </w:r>
          </w:p>
          <w:p>
            <w:pPr>
              <w:pStyle w:val="24"/>
              <w:ind w:firstLine="210" w:firstLineChars="100"/>
              <w:rPr>
                <w:rFonts w:hint="eastAsia" w:ascii="宋体" w:hAnsi="宋体"/>
                <w:color w:val="auto"/>
                <w:kern w:val="2"/>
                <w:sz w:val="21"/>
                <w:szCs w:val="21"/>
                <w:highlight w:val="none"/>
                <w:shd w:val="clear" w:color="auto" w:fill="auto"/>
              </w:rPr>
            </w:pPr>
            <w:r>
              <w:rPr>
                <w:rFonts w:hint="eastAsia"/>
                <w:color w:val="auto"/>
                <w:kern w:val="2"/>
                <w:sz w:val="21"/>
                <w:szCs w:val="21"/>
                <w:highlight w:val="none"/>
                <w:shd w:val="clear" w:color="auto" w:fill="auto"/>
                <w:lang w:eastAsia="zh-CN"/>
              </w:rPr>
              <w:t>（</w:t>
            </w:r>
            <w:r>
              <w:rPr>
                <w:rFonts w:hint="eastAsia"/>
                <w:color w:val="auto"/>
                <w:kern w:val="2"/>
                <w:sz w:val="21"/>
                <w:szCs w:val="21"/>
                <w:highlight w:val="none"/>
                <w:shd w:val="clear" w:color="auto" w:fill="auto"/>
                <w:lang w:val="en-US" w:eastAsia="zh-CN"/>
              </w:rPr>
              <w:t>4</w:t>
            </w:r>
            <w:r>
              <w:rPr>
                <w:rFonts w:hint="eastAsia"/>
                <w:color w:val="auto"/>
                <w:kern w:val="2"/>
                <w:sz w:val="21"/>
                <w:szCs w:val="21"/>
                <w:highlight w:val="none"/>
                <w:shd w:val="clear" w:color="auto" w:fill="auto"/>
                <w:lang w:eastAsia="zh-CN"/>
              </w:rPr>
              <w:t>）</w:t>
            </w:r>
            <w:r>
              <w:rPr>
                <w:rFonts w:ascii="宋体" w:hAnsi="宋体"/>
                <w:color w:val="auto"/>
                <w:kern w:val="2"/>
                <w:sz w:val="21"/>
                <w:szCs w:val="21"/>
                <w:highlight w:val="none"/>
                <w:shd w:val="clear" w:color="auto" w:fill="auto"/>
              </w:rPr>
              <w:t>履约信誉：</w:t>
            </w:r>
            <w:r>
              <w:rPr>
                <w:rFonts w:hint="eastAsia"/>
                <w:color w:val="auto"/>
                <w:kern w:val="2"/>
                <w:sz w:val="21"/>
                <w:szCs w:val="21"/>
                <w:highlight w:val="none"/>
                <w:u w:val="single"/>
                <w:shd w:val="clear" w:color="auto" w:fill="auto"/>
                <w:lang w:val="en-US" w:eastAsia="zh-CN"/>
              </w:rPr>
              <w:t>10</w:t>
            </w:r>
            <w:r>
              <w:rPr>
                <w:rFonts w:hint="eastAsia" w:ascii="宋体" w:hAnsi="宋体"/>
                <w:color w:val="auto"/>
                <w:kern w:val="2"/>
                <w:sz w:val="21"/>
                <w:szCs w:val="21"/>
                <w:highlight w:val="none"/>
                <w:shd w:val="clear" w:color="auto" w:fill="auto"/>
              </w:rPr>
              <w:t>分</w:t>
            </w:r>
          </w:p>
          <w:p>
            <w:pPr>
              <w:pStyle w:val="24"/>
              <w:ind w:firstLine="0" w:firstLineChars="0"/>
              <w:rPr>
                <w:rFonts w:hint="eastAsia" w:ascii="宋体" w:hAnsi="宋体"/>
                <w:color w:val="auto"/>
                <w:kern w:val="2"/>
                <w:sz w:val="21"/>
                <w:szCs w:val="21"/>
                <w:highlight w:val="none"/>
                <w:shd w:val="clear" w:color="auto" w:fill="auto"/>
              </w:rPr>
            </w:pPr>
            <w:r>
              <w:rPr>
                <w:rFonts w:hint="eastAsia" w:ascii="宋体" w:hAnsi="宋体"/>
                <w:color w:val="auto"/>
                <w:kern w:val="2"/>
                <w:sz w:val="21"/>
                <w:szCs w:val="21"/>
                <w:highlight w:val="none"/>
                <w:shd w:val="clear" w:color="auto" w:fill="auto"/>
                <w:lang w:val="en-US" w:eastAsia="zh-CN"/>
              </w:rPr>
              <w:t>第二信封报价(评标价)的分值(C)：</w:t>
            </w:r>
          </w:p>
          <w:p>
            <w:pPr>
              <w:pStyle w:val="24"/>
              <w:ind w:firstLine="420" w:firstLineChars="200"/>
              <w:rPr>
                <w:rFonts w:hint="eastAsia" w:ascii="宋体" w:hAnsi="宋体"/>
                <w:color w:val="auto"/>
                <w:kern w:val="2"/>
                <w:sz w:val="20"/>
                <w:szCs w:val="20"/>
                <w:highlight w:val="none"/>
                <w:shd w:val="clear" w:color="auto" w:fill="auto"/>
              </w:rPr>
            </w:pPr>
            <w:r>
              <w:rPr>
                <w:rFonts w:hint="eastAsia" w:ascii="宋体" w:hAnsi="宋体"/>
                <w:color w:val="auto"/>
                <w:kern w:val="2"/>
                <w:sz w:val="21"/>
                <w:szCs w:val="21"/>
                <w:highlight w:val="none"/>
                <w:shd w:val="clear" w:color="auto" w:fill="auto"/>
                <w:lang w:val="en-US" w:eastAsia="zh-CN"/>
              </w:rPr>
              <w:t>评标价：</w:t>
            </w:r>
            <w:r>
              <w:rPr>
                <w:rFonts w:hint="eastAsia"/>
                <w:color w:val="auto"/>
                <w:kern w:val="2"/>
                <w:sz w:val="21"/>
                <w:szCs w:val="21"/>
                <w:highlight w:val="none"/>
                <w:u w:val="single"/>
                <w:shd w:val="clear" w:color="auto" w:fill="auto"/>
                <w:lang w:val="en-US" w:eastAsia="zh-CN"/>
              </w:rPr>
              <w:t>80</w:t>
            </w:r>
            <w:r>
              <w:rPr>
                <w:rFonts w:hint="eastAsia" w:ascii="宋体" w:hAnsi="宋体"/>
                <w:color w:val="auto"/>
                <w:kern w:val="2"/>
                <w:sz w:val="21"/>
                <w:szCs w:val="21"/>
                <w:highlight w:val="none"/>
                <w:shd w:val="clear" w:color="auto" w:fill="auto"/>
                <w:lang w:val="en-US" w:eastAsia="zh-CN"/>
              </w:rPr>
              <w:t>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93" w:hRule="atLeast"/>
        </w:trPr>
        <w:tc>
          <w:tcPr>
            <w:tcW w:w="920" w:type="dxa"/>
            <w:vAlign w:val="center"/>
          </w:tcPr>
          <w:p>
            <w:pPr>
              <w:spacing w:line="360" w:lineRule="auto"/>
              <w:ind w:right="113"/>
              <w:jc w:val="center"/>
              <w:rPr>
                <w:rFonts w:hint="eastAsia" w:ascii="宋体" w:hAnsi="宋体" w:eastAsia="宋体" w:cs="宋体"/>
                <w:color w:val="auto"/>
                <w:szCs w:val="21"/>
                <w:highlight w:val="none"/>
                <w:shd w:val="clear" w:color="auto" w:fill="auto"/>
                <w:lang w:eastAsia="zh-CN"/>
              </w:rPr>
            </w:pPr>
            <w:r>
              <w:rPr>
                <w:rFonts w:hint="eastAsia" w:ascii="宋体" w:hAnsi="宋体" w:cs="宋体"/>
                <w:color w:val="auto"/>
                <w:szCs w:val="21"/>
                <w:highlight w:val="none"/>
                <w:shd w:val="clear" w:color="auto" w:fill="auto"/>
              </w:rPr>
              <w:t>2.2.</w:t>
            </w:r>
            <w:r>
              <w:rPr>
                <w:rFonts w:hint="eastAsia" w:cs="宋体"/>
                <w:color w:val="auto"/>
                <w:szCs w:val="21"/>
                <w:highlight w:val="none"/>
                <w:shd w:val="clear" w:color="auto" w:fill="auto"/>
                <w:lang w:val="en-US" w:eastAsia="zh-CN"/>
              </w:rPr>
              <w:t>2</w:t>
            </w:r>
          </w:p>
        </w:tc>
        <w:tc>
          <w:tcPr>
            <w:tcW w:w="1612" w:type="dxa"/>
            <w:vAlign w:val="center"/>
          </w:tcPr>
          <w:p>
            <w:pPr>
              <w:spacing w:line="360" w:lineRule="auto"/>
              <w:ind w:right="113"/>
              <w:jc w:val="center"/>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评标基准价计算方法</w:t>
            </w:r>
          </w:p>
          <w:p>
            <w:pPr>
              <w:spacing w:line="360" w:lineRule="auto"/>
              <w:ind w:right="113"/>
              <w:jc w:val="center"/>
              <w:rPr>
                <w:rFonts w:ascii="宋体" w:hAnsi="宋体" w:cs="宋体"/>
                <w:color w:val="auto"/>
                <w:szCs w:val="21"/>
                <w:highlight w:val="none"/>
                <w:shd w:val="clear" w:color="auto" w:fill="auto"/>
              </w:rPr>
            </w:pPr>
          </w:p>
        </w:tc>
        <w:tc>
          <w:tcPr>
            <w:tcW w:w="6709" w:type="dxa"/>
            <w:vAlign w:val="center"/>
          </w:tcPr>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0" w:firstLineChars="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评标基准价的计算：</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(1)评标价的确定：</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210" w:firstLineChars="1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评标价＝投标函文字报价</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(2)最高评标限价的确定</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210" w:firstLineChars="1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最高投标限价下浮率在开标前在开标现场采取摇珠方式确定。</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210" w:firstLineChars="1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摇珠操作办法如下：</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b/>
                <w:bCs/>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在下浮率区间差值为3个百分点的摇珠范围内，以0.1%为一档次增序确定摇珠号码，选择31个球，一次性摇取3个球，摇出3个球对应的下浮率的平均值即为该标段的下浮率。（注：下浮率摇珠区间差值为</w:t>
            </w:r>
            <w:r>
              <w:rPr>
                <w:rFonts w:hint="eastAsia"/>
                <w:sz w:val="21"/>
                <w:szCs w:val="21"/>
                <w:lang w:val="en-US"/>
              </w:rPr>
              <w:t>0%至3%</w:t>
            </w:r>
            <w:r>
              <w:rPr>
                <w:rFonts w:hint="eastAsia" w:ascii="宋体" w:hAnsi="宋体" w:cs="宋体"/>
                <w:color w:val="auto"/>
                <w:sz w:val="21"/>
                <w:szCs w:val="21"/>
                <w:highlight w:val="none"/>
                <w:shd w:val="clear" w:color="auto" w:fill="auto"/>
                <w:lang w:val="en-US" w:eastAsia="zh-CN"/>
              </w:rPr>
              <w:t>，选择31个球，</w:t>
            </w:r>
            <w:r>
              <w:rPr>
                <w:rFonts w:hint="eastAsia" w:ascii="宋体" w:hAnsi="宋体" w:cs="宋体"/>
                <w:b/>
                <w:bCs/>
                <w:color w:val="auto"/>
                <w:sz w:val="21"/>
                <w:szCs w:val="21"/>
                <w:highlight w:val="none"/>
                <w:shd w:val="clear" w:color="auto" w:fill="auto"/>
                <w:lang w:val="en-US" w:eastAsia="zh-CN"/>
              </w:rPr>
              <w:t>即每个球对应的下浮率分别为：</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632" w:firstLineChars="300"/>
              <w:jc w:val="left"/>
              <w:textAlignment w:val="auto"/>
              <w:rPr>
                <w:rFonts w:ascii="宋体" w:hAnsi="宋体" w:cs="宋体"/>
                <w:b/>
                <w:bCs/>
                <w:color w:val="auto"/>
                <w:sz w:val="21"/>
                <w:szCs w:val="21"/>
                <w:highlight w:val="none"/>
                <w:shd w:val="clear" w:color="auto" w:fill="auto"/>
              </w:rPr>
            </w:pPr>
            <w:r>
              <w:rPr>
                <w:rFonts w:hint="eastAsia" w:ascii="宋体" w:hAnsi="宋体" w:cs="宋体"/>
                <w:b/>
                <w:bCs/>
                <w:color w:val="auto"/>
                <w:sz w:val="21"/>
                <w:szCs w:val="21"/>
                <w:highlight w:val="none"/>
                <w:shd w:val="clear" w:color="auto" w:fill="auto"/>
                <w:lang w:val="en-US" w:eastAsia="zh-CN"/>
              </w:rPr>
              <w:t>0%,0.1%,0.2%,0.3%,0.4%,0.5%,0.6%,0.7%,0.8%,0.9%,1.0%,1.1%,1.2%,1.3%,1.4%,1.5%,1.6%,1.7%,1.8%,1.9%,2.0%,2.1%,2.2%,2.3%,2.4%,2.5%,2.6%,2.7%,2.8%,2.9%,3.0%；摇出三个下浮率的平均值四舍五入取整到0.001％）</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210" w:firstLineChars="1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最高评标限价＝最高投标限价×（1-下浮率）</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(3)有效评标价范围：</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有效评标价范围为：不大于最高评标限价的评标价为有效评标价。大于最高评标限价的评标价，将否决其投标。</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(4)评标基准价的确定：</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420" w:firstLineChars="2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评标基准价＝最高评标限价×9</w:t>
            </w:r>
            <w:r>
              <w:rPr>
                <w:rFonts w:hint="eastAsia" w:cs="宋体"/>
                <w:color w:val="auto"/>
                <w:sz w:val="21"/>
                <w:szCs w:val="21"/>
                <w:highlight w:val="none"/>
                <w:shd w:val="clear" w:color="auto" w:fill="auto"/>
                <w:lang w:val="en-US" w:eastAsia="zh-CN"/>
              </w:rPr>
              <w:t>9</w:t>
            </w:r>
            <w:r>
              <w:rPr>
                <w:rFonts w:hint="eastAsia" w:ascii="宋体" w:hAnsi="宋体" w:cs="宋体"/>
                <w:color w:val="auto"/>
                <w:sz w:val="21"/>
                <w:szCs w:val="21"/>
                <w:highlight w:val="none"/>
                <w:shd w:val="clear" w:color="auto" w:fill="auto"/>
                <w:lang w:val="en-US" w:eastAsia="zh-CN"/>
              </w:rPr>
              <w:t>%</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210" w:firstLineChars="100"/>
              <w:jc w:val="left"/>
              <w:textAlignment w:val="auto"/>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lang w:val="en-US" w:eastAsia="zh-CN"/>
              </w:rPr>
              <w:t>在评标过程中，评标委员会应对招标人计算的评标基准价进行复核，存在计算错误的应予以修正并在评标报告中作出说明。除此之外，评标基准价在整个评标期间保持不变，不随任何因素发生变化。</w:t>
            </w:r>
          </w:p>
          <w:p>
            <w:pPr>
              <w:pStyle w:val="24"/>
              <w:keepNext w:val="0"/>
              <w:keepLines w:val="0"/>
              <w:pageBreakBefore w:val="0"/>
              <w:widowControl w:val="0"/>
              <w:kinsoku/>
              <w:wordWrap/>
              <w:overflowPunct/>
              <w:topLinePunct w:val="0"/>
              <w:autoSpaceDE w:val="0"/>
              <w:autoSpaceDN w:val="0"/>
              <w:bidi w:val="0"/>
              <w:adjustRightInd/>
              <w:snapToGrid/>
              <w:spacing w:line="320" w:lineRule="exact"/>
              <w:ind w:left="0" w:leftChars="0" w:firstLine="0" w:firstLineChars="0"/>
              <w:jc w:val="left"/>
              <w:textAlignment w:val="auto"/>
              <w:rPr>
                <w:rFonts w:hint="eastAsia" w:ascii="宋体" w:hAnsi="宋体" w:cs="宋体"/>
                <w:color w:val="auto"/>
                <w:sz w:val="21"/>
                <w:szCs w:val="21"/>
                <w:highlight w:val="none"/>
                <w:shd w:val="clear" w:color="auto" w:fill="auto"/>
                <w:lang w:val="en-US" w:eastAsia="zh-CN"/>
              </w:rPr>
            </w:pPr>
            <w:r>
              <w:rPr>
                <w:rFonts w:hint="eastAsia" w:ascii="宋体" w:hAnsi="宋体" w:cs="宋体"/>
                <w:color w:val="auto"/>
                <w:sz w:val="21"/>
                <w:szCs w:val="21"/>
                <w:highlight w:val="none"/>
                <w:shd w:val="clear" w:color="auto" w:fill="auto"/>
                <w:lang w:val="en-US" w:eastAsia="zh-CN"/>
              </w:rPr>
              <w:t>备注：最高评标限价、评标基准价四舍五入至个位整数元。</w:t>
            </w:r>
          </w:p>
          <w:p>
            <w:pPr>
              <w:pStyle w:val="24"/>
              <w:spacing w:line="360" w:lineRule="auto"/>
              <w:ind w:left="0" w:leftChars="0" w:firstLine="0" w:firstLineChars="0"/>
              <w:jc w:val="left"/>
              <w:rPr>
                <w:rFonts w:ascii="宋体" w:hAnsi="宋体" w:cs="宋体"/>
                <w:color w:val="auto"/>
                <w:sz w:val="21"/>
                <w:szCs w:val="21"/>
                <w:highlight w:val="none"/>
                <w:shd w:val="clear" w:color="auto" w:fill="auto"/>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c>
          <w:tcPr>
            <w:tcW w:w="920" w:type="dxa"/>
            <w:vAlign w:val="center"/>
          </w:tcPr>
          <w:p>
            <w:pPr>
              <w:spacing w:line="360" w:lineRule="auto"/>
              <w:ind w:right="113"/>
              <w:jc w:val="center"/>
              <w:rPr>
                <w:rFonts w:hint="default" w:ascii="宋体" w:hAnsi="宋体" w:eastAsia="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2.2.3</w:t>
            </w:r>
          </w:p>
        </w:tc>
        <w:tc>
          <w:tcPr>
            <w:tcW w:w="1612" w:type="dxa"/>
            <w:vAlign w:val="center"/>
          </w:tcPr>
          <w:p>
            <w:pPr>
              <w:spacing w:line="360" w:lineRule="auto"/>
              <w:ind w:right="113"/>
              <w:jc w:val="center"/>
              <w:rPr>
                <w:rFonts w:hint="eastAsia" w:ascii="宋体" w:hAnsi="宋体" w:cs="宋体"/>
                <w:color w:val="auto"/>
                <w:szCs w:val="21"/>
                <w:highlight w:val="none"/>
                <w:shd w:val="clear" w:color="auto" w:fill="auto"/>
                <w:lang w:val="en-US" w:eastAsia="zh-CN"/>
              </w:rPr>
            </w:pPr>
          </w:p>
          <w:p>
            <w:pPr>
              <w:spacing w:line="360" w:lineRule="auto"/>
              <w:ind w:right="113"/>
              <w:jc w:val="center"/>
              <w:rPr>
                <w:rFonts w:hint="eastAsia" w:ascii="宋体" w:hAnsi="宋体" w:cs="宋体"/>
                <w:color w:val="auto"/>
                <w:szCs w:val="21"/>
                <w:highlight w:val="none"/>
                <w:shd w:val="clear" w:color="auto" w:fill="auto"/>
                <w:lang w:val="en-US" w:eastAsia="zh-CN"/>
              </w:rPr>
            </w:pPr>
            <w:r>
              <w:rPr>
                <w:rFonts w:hint="eastAsia" w:ascii="宋体" w:hAnsi="宋体" w:cs="宋体"/>
                <w:color w:val="auto"/>
                <w:szCs w:val="21"/>
                <w:highlight w:val="none"/>
                <w:shd w:val="clear" w:color="auto" w:fill="auto"/>
                <w:lang w:val="en-US" w:eastAsia="zh-CN"/>
              </w:rPr>
              <w:t>评标价的偏差</w:t>
            </w:r>
          </w:p>
          <w:p>
            <w:pPr>
              <w:spacing w:line="360" w:lineRule="auto"/>
              <w:ind w:right="113"/>
              <w:jc w:val="center"/>
              <w:rPr>
                <w:rFonts w:hint="eastAsia" w:ascii="宋体" w:hAnsi="宋体" w:eastAsia="宋体" w:cs="宋体"/>
                <w:color w:val="auto"/>
                <w:kern w:val="0"/>
                <w:sz w:val="21"/>
                <w:szCs w:val="21"/>
                <w:highlight w:val="none"/>
                <w:shd w:val="clear" w:color="auto" w:fill="auto"/>
                <w:lang w:val="en-US" w:eastAsia="zh-CN" w:bidi="zh-CN"/>
              </w:rPr>
            </w:pPr>
            <w:r>
              <w:rPr>
                <w:rFonts w:hint="eastAsia" w:ascii="宋体" w:hAnsi="宋体" w:cs="宋体"/>
                <w:color w:val="auto"/>
                <w:szCs w:val="21"/>
                <w:highlight w:val="none"/>
                <w:shd w:val="clear" w:color="auto" w:fill="auto"/>
                <w:lang w:val="en-US" w:eastAsia="zh-CN"/>
              </w:rPr>
              <w:t>率计算公式</w:t>
            </w:r>
          </w:p>
        </w:tc>
        <w:tc>
          <w:tcPr>
            <w:tcW w:w="6709" w:type="dxa"/>
            <w:vAlign w:val="center"/>
          </w:tcPr>
          <w:p>
            <w:pPr>
              <w:spacing w:line="360" w:lineRule="auto"/>
              <w:ind w:right="113" w:firstLine="210" w:firstLineChars="100"/>
              <w:rPr>
                <w:rFonts w:hint="eastAsia" w:ascii="宋体" w:hAnsi="宋体" w:eastAsia="宋体" w:cs="宋体"/>
                <w:color w:val="auto"/>
                <w:kern w:val="0"/>
                <w:sz w:val="21"/>
                <w:szCs w:val="21"/>
                <w:highlight w:val="none"/>
                <w:shd w:val="clear" w:color="auto" w:fill="auto"/>
                <w:lang w:val="en-US" w:eastAsia="zh-CN" w:bidi="zh-CN"/>
              </w:rPr>
            </w:pPr>
          </w:p>
          <w:p>
            <w:pPr>
              <w:spacing w:line="360" w:lineRule="auto"/>
              <w:ind w:right="113" w:firstLine="210" w:firstLineChars="100"/>
              <w:rPr>
                <w:rFonts w:hint="eastAsia" w:ascii="宋体" w:hAnsi="宋体" w:eastAsia="宋体" w:cs="宋体"/>
                <w:color w:val="auto"/>
                <w:kern w:val="0"/>
                <w:sz w:val="21"/>
                <w:szCs w:val="21"/>
                <w:highlight w:val="none"/>
                <w:shd w:val="clear" w:color="auto" w:fill="auto"/>
                <w:lang w:val="en-US" w:eastAsia="zh-CN" w:bidi="zh-CN"/>
              </w:rPr>
            </w:pPr>
            <w:r>
              <w:rPr>
                <w:rFonts w:hint="eastAsia" w:ascii="宋体" w:hAnsi="宋体" w:eastAsia="宋体" w:cs="宋体"/>
                <w:color w:val="auto"/>
                <w:kern w:val="0"/>
                <w:sz w:val="21"/>
                <w:szCs w:val="21"/>
                <w:highlight w:val="none"/>
                <w:shd w:val="clear" w:color="auto" w:fill="auto"/>
                <w:lang w:val="en-US" w:eastAsia="zh-CN" w:bidi="zh-CN"/>
              </w:rPr>
              <w:t>偏差率=100%×（投标人评标价－评标基准价）/评标基准价</w:t>
            </w:r>
          </w:p>
        </w:tc>
      </w:tr>
    </w:tbl>
    <w:p>
      <w:pPr>
        <w:rPr>
          <w:color w:val="auto"/>
          <w:highlight w:val="none"/>
          <w:shd w:val="clear" w:color="auto" w:fill="auto"/>
        </w:rPr>
      </w:pPr>
    </w:p>
    <w:p>
      <w:pPr>
        <w:pStyle w:val="24"/>
        <w:ind w:firstLine="480"/>
        <w:rPr>
          <w:color w:val="auto"/>
          <w:highlight w:val="none"/>
          <w:shd w:val="clear" w:color="auto" w:fill="auto"/>
        </w:rPr>
      </w:pPr>
    </w:p>
    <w:p>
      <w:pPr>
        <w:pStyle w:val="24"/>
        <w:ind w:firstLine="480"/>
        <w:rPr>
          <w:color w:val="auto"/>
          <w:highlight w:val="none"/>
          <w:shd w:val="clear" w:color="auto" w:fill="auto"/>
        </w:rPr>
      </w:pPr>
    </w:p>
    <w:p>
      <w:pPr>
        <w:rPr>
          <w:color w:val="auto"/>
          <w:highlight w:val="none"/>
          <w:shd w:val="clear" w:color="auto" w:fill="auto"/>
        </w:rPr>
      </w:pPr>
      <w:r>
        <w:rPr>
          <w:color w:val="auto"/>
          <w:highlight w:val="none"/>
          <w:shd w:val="clear" w:color="auto" w:fill="auto"/>
        </w:rPr>
        <w:br w:type="page"/>
      </w:r>
    </w:p>
    <w:p>
      <w:pPr>
        <w:spacing w:line="360" w:lineRule="auto"/>
        <w:outlineLvl w:val="2"/>
        <w:rPr>
          <w:rFonts w:ascii="宋体" w:hAnsi="宋体" w:cs="宋体"/>
          <w:color w:val="auto"/>
          <w:sz w:val="28"/>
          <w:szCs w:val="28"/>
          <w:highlight w:val="none"/>
          <w:shd w:val="clear" w:color="auto" w:fill="auto"/>
        </w:rPr>
      </w:pPr>
    </w:p>
    <w:tbl>
      <w:tblPr>
        <w:tblStyle w:val="25"/>
        <w:tblpPr w:leftFromText="180" w:rightFromText="180" w:vertAnchor="text" w:horzAnchor="page" w:tblpX="1187" w:tblpY="1"/>
        <w:tblOverlap w:val="never"/>
        <w:tblW w:w="9630"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1042"/>
        <w:gridCol w:w="568"/>
        <w:gridCol w:w="634"/>
        <w:gridCol w:w="946"/>
        <w:gridCol w:w="840"/>
        <w:gridCol w:w="560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c>
          <w:tcPr>
            <w:tcW w:w="4030" w:type="dxa"/>
            <w:gridSpan w:val="5"/>
            <w:vAlign w:val="center"/>
          </w:tcPr>
          <w:p>
            <w:pPr>
              <w:spacing w:line="360" w:lineRule="auto"/>
              <w:ind w:right="113"/>
              <w:jc w:val="center"/>
              <w:rPr>
                <w:rFonts w:ascii="宋体" w:hAnsi="宋体" w:cs="宋体"/>
                <w:b/>
                <w:bCs/>
                <w:color w:val="auto"/>
                <w:szCs w:val="21"/>
                <w:highlight w:val="none"/>
                <w:shd w:val="clear" w:color="auto" w:fill="auto"/>
              </w:rPr>
            </w:pPr>
            <w:r>
              <w:rPr>
                <w:rFonts w:ascii="宋体" w:hAnsi="宋体" w:cs="宋体"/>
                <w:b/>
                <w:bCs/>
                <w:color w:val="auto"/>
                <w:szCs w:val="21"/>
                <w:highlight w:val="none"/>
                <w:shd w:val="clear" w:color="auto" w:fill="auto"/>
              </w:rPr>
              <w:t>评分因素与权重分值</w:t>
            </w:r>
          </w:p>
        </w:tc>
        <w:tc>
          <w:tcPr>
            <w:tcW w:w="5600" w:type="dxa"/>
            <w:vMerge w:val="restart"/>
            <w:vAlign w:val="center"/>
          </w:tcPr>
          <w:p>
            <w:pPr>
              <w:spacing w:line="360" w:lineRule="auto"/>
              <w:ind w:right="113"/>
              <w:jc w:val="center"/>
              <w:rPr>
                <w:rFonts w:ascii="宋体" w:hAnsi="宋体" w:cs="宋体"/>
                <w:color w:val="auto"/>
                <w:szCs w:val="21"/>
                <w:highlight w:val="none"/>
                <w:shd w:val="clear" w:color="auto" w:fill="auto"/>
              </w:rPr>
            </w:pPr>
            <w:r>
              <w:rPr>
                <w:rFonts w:ascii="宋体" w:hAnsi="宋体" w:eastAsia="Times New Roman" w:cs="宋体"/>
                <w:b/>
                <w:bCs/>
                <w:color w:val="auto"/>
                <w:sz w:val="22"/>
                <w:highlight w:val="none"/>
                <w:shd w:val="clear" w:color="auto" w:fill="auto"/>
              </w:rPr>
              <w:t>评分标准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096" w:hRule="atLeast"/>
        </w:trPr>
        <w:tc>
          <w:tcPr>
            <w:tcW w:w="1042" w:type="dxa"/>
            <w:tcBorders>
              <w:right w:val="single" w:color="auto" w:sz="4" w:space="0"/>
            </w:tcBorders>
            <w:vAlign w:val="center"/>
          </w:tcPr>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条款号</w:t>
            </w:r>
          </w:p>
        </w:tc>
        <w:tc>
          <w:tcPr>
            <w:tcW w:w="568" w:type="dxa"/>
            <w:tcBorders>
              <w:left w:val="single" w:color="auto" w:sz="4" w:space="0"/>
              <w:right w:val="single" w:color="auto" w:sz="4" w:space="0"/>
            </w:tcBorders>
            <w:vAlign w:val="center"/>
          </w:tcPr>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评分</w:t>
            </w:r>
          </w:p>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因素</w:t>
            </w:r>
          </w:p>
        </w:tc>
        <w:tc>
          <w:tcPr>
            <w:tcW w:w="634" w:type="dxa"/>
            <w:tcBorders>
              <w:left w:val="single" w:color="auto" w:sz="4" w:space="0"/>
            </w:tcBorders>
            <w:vAlign w:val="center"/>
          </w:tcPr>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评分</w:t>
            </w:r>
          </w:p>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因素权重</w:t>
            </w:r>
          </w:p>
        </w:tc>
        <w:tc>
          <w:tcPr>
            <w:tcW w:w="946" w:type="dxa"/>
            <w:tcBorders>
              <w:right w:val="single" w:color="auto" w:sz="4" w:space="0"/>
            </w:tcBorders>
            <w:vAlign w:val="center"/>
          </w:tcPr>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各评分因素细分项</w:t>
            </w:r>
          </w:p>
        </w:tc>
        <w:tc>
          <w:tcPr>
            <w:tcW w:w="840" w:type="dxa"/>
            <w:tcBorders>
              <w:left w:val="single" w:color="auto" w:sz="4" w:space="0"/>
            </w:tcBorders>
            <w:vAlign w:val="center"/>
          </w:tcPr>
          <w:p>
            <w:pPr>
              <w:spacing w:line="360" w:lineRule="auto"/>
              <w:ind w:right="113"/>
              <w:jc w:val="center"/>
              <w:rPr>
                <w:rFonts w:ascii="宋体" w:hAnsi="宋体" w:cs="宋体"/>
                <w:b/>
                <w:bCs/>
                <w:color w:val="auto"/>
                <w:szCs w:val="21"/>
                <w:highlight w:val="none"/>
                <w:shd w:val="clear" w:color="auto" w:fill="auto"/>
              </w:rPr>
            </w:pPr>
            <w:r>
              <w:rPr>
                <w:rFonts w:hint="eastAsia" w:ascii="宋体" w:hAnsi="宋体" w:cs="宋体"/>
                <w:b/>
                <w:bCs/>
                <w:color w:val="auto"/>
                <w:szCs w:val="21"/>
                <w:highlight w:val="none"/>
                <w:shd w:val="clear" w:color="auto" w:fill="auto"/>
              </w:rPr>
              <w:t>分值</w:t>
            </w:r>
          </w:p>
        </w:tc>
        <w:tc>
          <w:tcPr>
            <w:tcW w:w="5600" w:type="dxa"/>
            <w:vMerge w:val="continue"/>
            <w:vAlign w:val="center"/>
          </w:tcPr>
          <w:p>
            <w:pPr>
              <w:spacing w:line="360" w:lineRule="auto"/>
              <w:ind w:right="113"/>
              <w:rPr>
                <w:rFonts w:ascii="宋体" w:hAnsi="宋体" w:cs="宋体"/>
                <w:color w:val="auto"/>
                <w:szCs w:val="21"/>
                <w:highlight w:val="none"/>
                <w:shd w:val="clear" w:color="auto" w:fill="auto"/>
              </w:rPr>
            </w:pP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345" w:hRule="atLeast"/>
        </w:trPr>
        <w:tc>
          <w:tcPr>
            <w:tcW w:w="1042" w:type="dxa"/>
            <w:vMerge w:val="restart"/>
            <w:tcBorders>
              <w:right w:val="single" w:color="auto" w:sz="4" w:space="0"/>
            </w:tcBorders>
            <w:vAlign w:val="center"/>
          </w:tcPr>
          <w:p>
            <w:pPr>
              <w:spacing w:line="360" w:lineRule="auto"/>
              <w:ind w:right="113"/>
              <w:jc w:val="center"/>
              <w:rPr>
                <w:rFonts w:hint="eastAsia" w:ascii="宋体" w:hAnsi="宋体" w:eastAsia="宋体" w:cs="宋体"/>
                <w:color w:val="auto"/>
                <w:szCs w:val="21"/>
                <w:highlight w:val="none"/>
                <w:shd w:val="clear" w:color="auto" w:fill="auto"/>
                <w:lang w:val="en-US" w:eastAsia="zh-CN"/>
              </w:rPr>
            </w:pPr>
            <w:r>
              <w:rPr>
                <w:rFonts w:hint="eastAsia" w:ascii="宋体" w:hAnsi="宋体" w:cs="宋体"/>
                <w:color w:val="auto"/>
                <w:szCs w:val="21"/>
                <w:highlight w:val="none"/>
                <w:shd w:val="clear" w:color="auto" w:fill="auto"/>
              </w:rPr>
              <w:t>2.2.</w:t>
            </w:r>
            <w:r>
              <w:rPr>
                <w:rFonts w:hint="eastAsia" w:cs="宋体"/>
                <w:color w:val="auto"/>
                <w:szCs w:val="21"/>
                <w:highlight w:val="none"/>
                <w:shd w:val="clear" w:color="auto" w:fill="auto"/>
                <w:lang w:val="en-US" w:eastAsia="zh-CN"/>
              </w:rPr>
              <w:t>4</w:t>
            </w:r>
          </w:p>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w:t>
            </w:r>
          </w:p>
        </w:tc>
        <w:tc>
          <w:tcPr>
            <w:tcW w:w="568" w:type="dxa"/>
            <w:vMerge w:val="restart"/>
            <w:tcBorders>
              <w:left w:val="single" w:color="auto" w:sz="4" w:space="0"/>
              <w:right w:val="single" w:color="auto" w:sz="4" w:space="0"/>
            </w:tcBorders>
            <w:vAlign w:val="center"/>
          </w:tcPr>
          <w:p>
            <w:pPr>
              <w:rPr>
                <w:rFonts w:ascii="宋体" w:hAnsi="宋体" w:cs="宋体"/>
                <w:color w:val="auto"/>
                <w:sz w:val="21"/>
                <w:szCs w:val="21"/>
                <w:highlight w:val="none"/>
                <w:shd w:val="clear" w:color="auto" w:fill="auto"/>
              </w:rPr>
            </w:pPr>
            <w:r>
              <w:rPr>
                <w:rFonts w:hint="eastAsia" w:ascii="宋体" w:hAnsi="宋体"/>
                <w:color w:val="auto"/>
                <w:sz w:val="21"/>
                <w:szCs w:val="21"/>
                <w:highlight w:val="none"/>
                <w:shd w:val="clear" w:color="auto" w:fill="auto"/>
              </w:rPr>
              <w:t>施工组织设计</w:t>
            </w:r>
          </w:p>
        </w:tc>
        <w:tc>
          <w:tcPr>
            <w:tcW w:w="634" w:type="dxa"/>
            <w:vMerge w:val="restart"/>
            <w:tcBorders>
              <w:left w:val="single" w:color="auto" w:sz="4" w:space="0"/>
            </w:tcBorders>
            <w:vAlign w:val="center"/>
          </w:tcPr>
          <w:p>
            <w:pPr>
              <w:pStyle w:val="40"/>
              <w:shd w:val="clear" w:color="auto" w:fill="auto"/>
              <w:spacing w:before="0" w:line="360" w:lineRule="auto"/>
              <w:jc w:val="center"/>
              <w:rPr>
                <w:rFonts w:ascii="宋体" w:hAnsi="宋体" w:cs="宋体"/>
                <w:color w:val="auto"/>
                <w:sz w:val="21"/>
                <w:szCs w:val="21"/>
                <w:highlight w:val="none"/>
                <w:shd w:val="clear" w:color="auto" w:fill="auto"/>
              </w:rPr>
            </w:pPr>
            <w:r>
              <w:rPr>
                <w:rFonts w:hint="eastAsia" w:ascii="宋体" w:hAnsi="宋体" w:eastAsia="宋体"/>
                <w:color w:val="auto"/>
                <w:kern w:val="2"/>
                <w:sz w:val="21"/>
                <w:szCs w:val="21"/>
                <w:highlight w:val="none"/>
                <w:shd w:val="clear" w:color="auto" w:fill="auto"/>
                <w:lang w:val="en-US" w:eastAsia="zh-CN"/>
              </w:rPr>
              <w:t>7</w:t>
            </w:r>
            <w:r>
              <w:rPr>
                <w:rFonts w:hint="eastAsia" w:ascii="宋体" w:hAnsi="宋体" w:eastAsia="宋体"/>
                <w:color w:val="auto"/>
                <w:kern w:val="2"/>
                <w:sz w:val="21"/>
                <w:szCs w:val="21"/>
                <w:highlight w:val="none"/>
                <w:shd w:val="clear" w:color="auto" w:fill="auto"/>
              </w:rPr>
              <w:t>分</w:t>
            </w:r>
          </w:p>
        </w:tc>
        <w:tc>
          <w:tcPr>
            <w:tcW w:w="946" w:type="dxa"/>
            <w:tcBorders>
              <w:right w:val="single" w:color="auto" w:sz="4" w:space="0"/>
            </w:tcBorders>
            <w:vAlign w:val="center"/>
          </w:tcPr>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ascii="宋体" w:hAnsi="宋体" w:cs="宋体"/>
                <w:color w:val="auto"/>
                <w:sz w:val="21"/>
                <w:szCs w:val="21"/>
                <w:highlight w:val="none"/>
                <w:shd w:val="clear" w:color="auto" w:fill="auto"/>
              </w:rPr>
            </w:pPr>
            <w:r>
              <w:rPr>
                <w:rFonts w:hint="eastAsia"/>
                <w:sz w:val="21"/>
                <w:szCs w:val="21"/>
                <w:highlight w:val="none"/>
              </w:rPr>
              <w:t>总体施工组织布置及规划</w:t>
            </w:r>
          </w:p>
        </w:tc>
        <w:tc>
          <w:tcPr>
            <w:tcW w:w="840" w:type="dxa"/>
            <w:tcBorders>
              <w:left w:val="single" w:color="auto" w:sz="4" w:space="0"/>
            </w:tcBorders>
            <w:vAlign w:val="center"/>
          </w:tcPr>
          <w:p>
            <w:pPr>
              <w:spacing w:line="360" w:lineRule="auto"/>
              <w:ind w:firstLine="210" w:firstLineChars="100"/>
              <w:rPr>
                <w:rFonts w:ascii="宋体" w:hAnsi="宋体" w:cs="宋体"/>
                <w:color w:val="auto"/>
                <w:sz w:val="21"/>
                <w:szCs w:val="21"/>
                <w:highlight w:val="none"/>
                <w:shd w:val="clear" w:color="auto" w:fill="auto"/>
              </w:rPr>
            </w:pPr>
            <w:r>
              <w:rPr>
                <w:rFonts w:hint="eastAsia" w:ascii="宋体" w:hAnsi="宋体"/>
                <w:color w:val="auto"/>
                <w:sz w:val="21"/>
                <w:szCs w:val="21"/>
                <w:highlight w:val="none"/>
                <w:shd w:val="clear" w:color="auto" w:fill="auto"/>
                <w:lang w:val="en-US" w:eastAsia="zh-CN"/>
              </w:rPr>
              <w:t>2</w:t>
            </w:r>
            <w:r>
              <w:rPr>
                <w:rFonts w:hint="eastAsia" w:ascii="宋体" w:hAnsi="宋体"/>
                <w:color w:val="auto"/>
                <w:sz w:val="21"/>
                <w:szCs w:val="21"/>
                <w:highlight w:val="none"/>
                <w:shd w:val="clear" w:color="auto" w:fill="auto"/>
              </w:rPr>
              <w:t>分</w:t>
            </w:r>
          </w:p>
        </w:tc>
        <w:tc>
          <w:tcPr>
            <w:tcW w:w="5600" w:type="dxa"/>
            <w:vAlign w:val="top"/>
          </w:tcPr>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对项目的基本情况了解全面、准确，施工总体布置规划、施工进度计划科学合理、可操作性强，按《广东省公路工程施工标准化指南》及《广东省高速公路工程施工安全标准化指南》《公路工程施工安全防护设施技术指南》执行，</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1.6~2.0</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（满分分值的80%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100%）；</w:t>
            </w:r>
          </w:p>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（2）满足工程建设需要，施工总体布置规划、施工进度计划基本可行，</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1.2~1.6</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（满分分值的60%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80%）；</w:t>
            </w:r>
          </w:p>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rFonts w:hint="eastAsia" w:ascii="宋体" w:hAnsi="宋体" w:eastAsia="宋体" w:cs="宋体"/>
                <w:color w:val="auto"/>
                <w:sz w:val="21"/>
                <w:szCs w:val="21"/>
                <w:highlight w:val="none"/>
                <w:shd w:val="clear" w:color="auto" w:fill="auto"/>
                <w:lang w:eastAsia="zh-CN"/>
              </w:rPr>
            </w:pPr>
            <w:r>
              <w:rPr>
                <w:rFonts w:hint="eastAsia" w:ascii="宋体" w:hAnsi="宋体" w:eastAsia="宋体" w:cs="宋体"/>
                <w:color w:val="000000"/>
                <w:sz w:val="21"/>
                <w:szCs w:val="21"/>
                <w:highlight w:val="none"/>
                <w:lang w:val="en-US" w:eastAsia="zh-CN"/>
              </w:rPr>
              <w:t>（3）一般但不被评定为不响应的,</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1.2</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（满分分值的60%）。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346" w:hRule="atLeast"/>
        </w:trPr>
        <w:tc>
          <w:tcPr>
            <w:tcW w:w="1042" w:type="dxa"/>
            <w:vMerge w:val="continue"/>
            <w:tcBorders>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p>
        </w:tc>
        <w:tc>
          <w:tcPr>
            <w:tcW w:w="568" w:type="dxa"/>
            <w:vMerge w:val="continue"/>
            <w:tcBorders>
              <w:left w:val="single" w:color="auto" w:sz="4" w:space="0"/>
              <w:right w:val="single" w:color="auto" w:sz="4" w:space="0"/>
            </w:tcBorders>
            <w:vAlign w:val="center"/>
          </w:tcPr>
          <w:p>
            <w:pPr>
              <w:rPr>
                <w:rFonts w:ascii="宋体" w:hAnsi="宋体" w:cs="宋体"/>
                <w:color w:val="auto"/>
                <w:sz w:val="21"/>
                <w:szCs w:val="21"/>
                <w:highlight w:val="none"/>
                <w:shd w:val="clear" w:color="auto" w:fill="auto"/>
              </w:rPr>
            </w:pPr>
          </w:p>
        </w:tc>
        <w:tc>
          <w:tcPr>
            <w:tcW w:w="634" w:type="dxa"/>
            <w:vMerge w:val="continue"/>
            <w:tcBorders>
              <w:left w:val="single" w:color="auto" w:sz="4" w:space="0"/>
            </w:tcBorders>
            <w:vAlign w:val="center"/>
          </w:tcPr>
          <w:p>
            <w:pPr>
              <w:spacing w:line="360" w:lineRule="auto"/>
              <w:rPr>
                <w:rFonts w:ascii="宋体" w:hAnsi="宋体" w:cs="宋体"/>
                <w:color w:val="auto"/>
                <w:sz w:val="21"/>
                <w:szCs w:val="21"/>
                <w:highlight w:val="none"/>
                <w:shd w:val="clear" w:color="auto" w:fill="auto"/>
              </w:rPr>
            </w:pPr>
          </w:p>
        </w:tc>
        <w:tc>
          <w:tcPr>
            <w:tcW w:w="946" w:type="dxa"/>
            <w:tcBorders>
              <w:right w:val="single" w:color="auto" w:sz="4" w:space="0"/>
            </w:tcBorders>
            <w:vAlign w:val="center"/>
          </w:tcPr>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ascii="宋体" w:hAnsi="宋体" w:cs="宋体"/>
                <w:color w:val="auto"/>
                <w:sz w:val="21"/>
                <w:szCs w:val="21"/>
                <w:highlight w:val="none"/>
                <w:shd w:val="clear" w:color="auto" w:fill="auto"/>
              </w:rPr>
            </w:pPr>
            <w:r>
              <w:rPr>
                <w:rFonts w:hint="eastAsia"/>
                <w:sz w:val="21"/>
                <w:szCs w:val="21"/>
                <w:highlight w:val="none"/>
              </w:rPr>
              <w:t>重点、难点和关键工程的施工方案与技术措施</w:t>
            </w:r>
          </w:p>
        </w:tc>
        <w:tc>
          <w:tcPr>
            <w:tcW w:w="840" w:type="dxa"/>
            <w:tcBorders>
              <w:left w:val="single" w:color="auto" w:sz="4" w:space="0"/>
            </w:tcBorders>
            <w:vAlign w:val="center"/>
          </w:tcPr>
          <w:p>
            <w:pPr>
              <w:spacing w:line="360" w:lineRule="auto"/>
              <w:ind w:firstLine="210" w:firstLineChars="100"/>
              <w:rPr>
                <w:rFonts w:ascii="宋体" w:hAnsi="宋体" w:cs="宋体"/>
                <w:color w:val="auto"/>
                <w:sz w:val="21"/>
                <w:szCs w:val="21"/>
                <w:highlight w:val="none"/>
                <w:shd w:val="clear" w:color="auto" w:fill="auto"/>
              </w:rPr>
            </w:pPr>
            <w:r>
              <w:rPr>
                <w:rFonts w:hint="eastAsia"/>
                <w:color w:val="auto"/>
                <w:sz w:val="21"/>
                <w:szCs w:val="21"/>
                <w:highlight w:val="none"/>
                <w:shd w:val="clear" w:color="auto" w:fill="auto"/>
                <w:lang w:val="en-US" w:eastAsia="zh-CN"/>
              </w:rPr>
              <w:t>3</w:t>
            </w:r>
            <w:r>
              <w:rPr>
                <w:rFonts w:hint="eastAsia" w:ascii="宋体" w:hAnsi="宋体"/>
                <w:color w:val="auto"/>
                <w:sz w:val="21"/>
                <w:szCs w:val="21"/>
                <w:highlight w:val="none"/>
                <w:shd w:val="clear" w:color="auto" w:fill="auto"/>
              </w:rPr>
              <w:t>分</w:t>
            </w:r>
          </w:p>
        </w:tc>
        <w:tc>
          <w:tcPr>
            <w:tcW w:w="5600" w:type="dxa"/>
            <w:vAlign w:val="top"/>
          </w:tcPr>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（1）对项目重点、难点和关键工程认识分析透彻，能充分发挥自身优势，积极采用</w:t>
            </w:r>
            <w:r>
              <w:rPr>
                <w:rFonts w:hint="eastAsia" w:ascii="宋体" w:hAnsi="宋体" w:eastAsia="宋体" w:cs="宋体"/>
                <w:color w:val="000000"/>
                <w:sz w:val="21"/>
                <w:szCs w:val="21"/>
                <w:highlight w:val="none"/>
                <w:lang w:val="zh-CN" w:eastAsia="zh-CN"/>
              </w:rPr>
              <w:t xml:space="preserve">“四 </w:t>
            </w:r>
            <w:r>
              <w:rPr>
                <w:rFonts w:hint="eastAsia" w:ascii="宋体" w:hAnsi="宋体" w:eastAsia="宋体" w:cs="宋体"/>
                <w:color w:val="000000"/>
                <w:sz w:val="21"/>
                <w:szCs w:val="21"/>
                <w:highlight w:val="none"/>
                <w:lang w:val="en-US" w:eastAsia="zh-CN"/>
              </w:rPr>
              <w:t>新”技术，制定的施工方案与技术措施针对性和可操作性强，重点突出的，按《广东省公路工程施工标准化指南》及《广东省高速公路工程施工安全标准化指南》《公路工程施工安全防护设施技术指南》执行，得</w:t>
            </w:r>
            <w:r>
              <w:rPr>
                <w:rFonts w:hint="eastAsia" w:ascii="宋体" w:hAnsi="宋体" w:eastAsia="宋体" w:cs="宋体"/>
                <w:color w:val="000000"/>
                <w:sz w:val="21"/>
                <w:szCs w:val="21"/>
                <w:highlight w:val="none"/>
                <w:u w:val="single"/>
                <w:lang w:val="en-US" w:eastAsia="zh-CN"/>
              </w:rPr>
              <w:t>2.4~3.0</w:t>
            </w:r>
            <w:r>
              <w:rPr>
                <w:rFonts w:hint="eastAsia" w:ascii="宋体" w:hAnsi="宋体" w:eastAsia="宋体" w:cs="宋体"/>
                <w:color w:val="000000"/>
                <w:sz w:val="21"/>
                <w:szCs w:val="21"/>
                <w:highlight w:val="none"/>
                <w:lang w:val="en-US" w:eastAsia="zh-CN"/>
              </w:rPr>
              <w:t>分（满分分值的80%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100%）；</w:t>
            </w:r>
          </w:p>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（2）对项目重点、难点和关键工程认识基本到位，施工方案与技术措施基本可行，重点较为突出的，</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1.8~2.4</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（满分分值的60%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80%）；</w:t>
            </w:r>
          </w:p>
          <w:p>
            <w:pPr>
              <w:keepNext w:val="0"/>
              <w:keepLines w:val="0"/>
              <w:pageBreakBefore w:val="0"/>
              <w:widowControl/>
              <w:kinsoku w:val="0"/>
              <w:wordWrap/>
              <w:overflowPunct/>
              <w:topLinePunct w:val="0"/>
              <w:autoSpaceDE w:val="0"/>
              <w:autoSpaceDN w:val="0"/>
              <w:bidi w:val="0"/>
              <w:adjustRightInd w:val="0"/>
              <w:snapToGrid w:val="0"/>
              <w:spacing w:line="340" w:lineRule="exact"/>
              <w:textAlignment w:val="baseline"/>
              <w:rPr>
                <w:color w:val="auto"/>
                <w:sz w:val="21"/>
                <w:szCs w:val="21"/>
                <w:highlight w:val="none"/>
                <w:shd w:val="clear" w:color="auto" w:fill="auto"/>
              </w:rPr>
            </w:pPr>
            <w:r>
              <w:rPr>
                <w:rFonts w:hint="eastAsia" w:ascii="宋体" w:hAnsi="宋体" w:eastAsia="宋体" w:cs="宋体"/>
                <w:color w:val="000000"/>
                <w:sz w:val="21"/>
                <w:szCs w:val="21"/>
                <w:highlight w:val="none"/>
                <w:lang w:val="en-US" w:eastAsia="zh-CN"/>
              </w:rPr>
              <w:t>（3）一般但不被评定为不响应的，</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1.8</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（满分分值的60%）。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c>
          <w:tcPr>
            <w:tcW w:w="1042" w:type="dxa"/>
            <w:vMerge w:val="continue"/>
            <w:tcBorders>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p>
        </w:tc>
        <w:tc>
          <w:tcPr>
            <w:tcW w:w="568" w:type="dxa"/>
            <w:vMerge w:val="continue"/>
            <w:tcBorders>
              <w:left w:val="single" w:color="auto" w:sz="4" w:space="0"/>
              <w:right w:val="single" w:color="auto" w:sz="4" w:space="0"/>
            </w:tcBorders>
            <w:vAlign w:val="center"/>
          </w:tcPr>
          <w:p>
            <w:pPr>
              <w:rPr>
                <w:rFonts w:ascii="宋体" w:hAnsi="宋体" w:cs="宋体"/>
                <w:color w:val="auto"/>
                <w:sz w:val="21"/>
                <w:szCs w:val="21"/>
                <w:highlight w:val="none"/>
                <w:shd w:val="clear" w:color="auto" w:fill="auto"/>
              </w:rPr>
            </w:pPr>
          </w:p>
        </w:tc>
        <w:tc>
          <w:tcPr>
            <w:tcW w:w="634" w:type="dxa"/>
            <w:vMerge w:val="continue"/>
            <w:tcBorders>
              <w:left w:val="single" w:color="auto" w:sz="4" w:space="0"/>
            </w:tcBorders>
            <w:vAlign w:val="center"/>
          </w:tcPr>
          <w:p>
            <w:pPr>
              <w:spacing w:line="360" w:lineRule="auto"/>
              <w:rPr>
                <w:rFonts w:ascii="宋体" w:hAnsi="宋体" w:cs="宋体"/>
                <w:color w:val="auto"/>
                <w:sz w:val="21"/>
                <w:szCs w:val="21"/>
                <w:highlight w:val="none"/>
                <w:shd w:val="clear" w:color="auto" w:fill="auto"/>
              </w:rPr>
            </w:pPr>
          </w:p>
        </w:tc>
        <w:tc>
          <w:tcPr>
            <w:tcW w:w="946" w:type="dxa"/>
            <w:tcBorders>
              <w:right w:val="single" w:color="auto" w:sz="4" w:space="0"/>
            </w:tcBorders>
            <w:vAlign w:val="center"/>
          </w:tcPr>
          <w:p>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ascii="宋体" w:hAnsi="宋体" w:cs="宋体"/>
                <w:color w:val="auto"/>
                <w:sz w:val="21"/>
                <w:szCs w:val="21"/>
                <w:highlight w:val="none"/>
                <w:shd w:val="clear" w:color="auto" w:fill="auto"/>
              </w:rPr>
            </w:pPr>
            <w:r>
              <w:rPr>
                <w:rFonts w:hint="eastAsia"/>
                <w:sz w:val="21"/>
                <w:szCs w:val="21"/>
                <w:highlight w:val="none"/>
              </w:rPr>
              <w:t>工期、质量、安全、环保水保、文明 施工保证措施</w:t>
            </w:r>
          </w:p>
        </w:tc>
        <w:tc>
          <w:tcPr>
            <w:tcW w:w="840" w:type="dxa"/>
            <w:tcBorders>
              <w:left w:val="single" w:color="auto" w:sz="4" w:space="0"/>
            </w:tcBorders>
            <w:vAlign w:val="center"/>
          </w:tcPr>
          <w:p>
            <w:pPr>
              <w:spacing w:line="360" w:lineRule="auto"/>
              <w:ind w:firstLine="210" w:firstLineChars="100"/>
              <w:rPr>
                <w:rFonts w:ascii="宋体" w:hAnsi="宋体" w:cs="宋体"/>
                <w:color w:val="auto"/>
                <w:sz w:val="21"/>
                <w:szCs w:val="21"/>
                <w:highlight w:val="none"/>
                <w:shd w:val="clear" w:color="auto" w:fill="auto"/>
              </w:rPr>
            </w:pPr>
            <w:r>
              <w:rPr>
                <w:rFonts w:hint="eastAsia" w:ascii="宋体" w:hAnsi="宋体"/>
                <w:color w:val="auto"/>
                <w:sz w:val="21"/>
                <w:szCs w:val="21"/>
                <w:highlight w:val="none"/>
                <w:shd w:val="clear" w:color="auto" w:fill="auto"/>
                <w:lang w:val="en-US" w:eastAsia="zh-CN"/>
              </w:rPr>
              <w:t>2</w:t>
            </w:r>
            <w:r>
              <w:rPr>
                <w:rFonts w:hint="eastAsia" w:ascii="宋体" w:hAnsi="宋体"/>
                <w:color w:val="auto"/>
                <w:sz w:val="21"/>
                <w:szCs w:val="21"/>
                <w:highlight w:val="none"/>
                <w:shd w:val="clear" w:color="auto" w:fill="auto"/>
              </w:rPr>
              <w:t>分</w:t>
            </w:r>
          </w:p>
        </w:tc>
        <w:tc>
          <w:tcPr>
            <w:tcW w:w="5600" w:type="dxa"/>
            <w:vAlign w:val="top"/>
          </w:tcPr>
          <w:p>
            <w:pPr>
              <w:keepNext w:val="0"/>
              <w:keepLines w:val="0"/>
              <w:pageBreakBefore w:val="0"/>
              <w:widowControl/>
              <w:kinsoku w:val="0"/>
              <w:wordWrap/>
              <w:overflowPunct/>
              <w:topLinePunct w:val="0"/>
              <w:autoSpaceDE w:val="0"/>
              <w:autoSpaceDN w:val="0"/>
              <w:bidi w:val="0"/>
              <w:adjustRightInd w:val="0"/>
              <w:snapToGrid w:val="0"/>
              <w:spacing w:line="38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（1）能够准确预判分析工期、质量、安全、 环保、水保、文明施工目标实现的主要影响 因素，拟采取预防保证措施针对性强、科学 有效，重点突出的，按《广东省公路工程施 工标准化指南》及《广东省高速公路工程施工安全标准化指南》《公路工程施工安全防护设施技术指南》执行，</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1.6~2.0</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(满分分值的80%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100%)；</w:t>
            </w:r>
          </w:p>
          <w:p>
            <w:pPr>
              <w:keepNext w:val="0"/>
              <w:keepLines w:val="0"/>
              <w:pageBreakBefore w:val="0"/>
              <w:widowControl/>
              <w:kinsoku w:val="0"/>
              <w:wordWrap/>
              <w:overflowPunct/>
              <w:topLinePunct w:val="0"/>
              <w:autoSpaceDE w:val="0"/>
              <w:autoSpaceDN w:val="0"/>
              <w:bidi w:val="0"/>
              <w:adjustRightInd w:val="0"/>
              <w:snapToGrid w:val="0"/>
              <w:spacing w:line="380" w:lineRule="exact"/>
              <w:textAlignment w:val="baseline"/>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（2）对工期、质量、安全、环保、水保等风险有一定认识，预防保证措施基本可行，重点较为突出的，得</w:t>
            </w:r>
            <w:r>
              <w:rPr>
                <w:rFonts w:hint="eastAsia" w:ascii="宋体" w:hAnsi="宋体" w:eastAsia="宋体" w:cs="宋体"/>
                <w:color w:val="000000"/>
                <w:sz w:val="21"/>
                <w:szCs w:val="21"/>
                <w:highlight w:val="none"/>
                <w:u w:val="single"/>
                <w:lang w:val="en-US" w:eastAsia="zh-CN"/>
              </w:rPr>
              <w:t>1.2~1.6</w:t>
            </w:r>
            <w:r>
              <w:rPr>
                <w:rFonts w:hint="eastAsia" w:ascii="宋体" w:hAnsi="宋体" w:eastAsia="宋体" w:cs="宋体"/>
                <w:color w:val="000000"/>
                <w:sz w:val="21"/>
                <w:szCs w:val="21"/>
                <w:highlight w:val="none"/>
                <w:lang w:val="en-US" w:eastAsia="zh-CN"/>
              </w:rPr>
              <w:t>分(满分分值的60%</w:t>
            </w:r>
            <w:r>
              <w:rPr>
                <w:rFonts w:hint="eastAsia" w:ascii="宋体" w:hAnsi="宋体" w:eastAsia="宋体" w:cs="宋体"/>
                <w:color w:val="000000"/>
                <w:sz w:val="21"/>
                <w:szCs w:val="21"/>
                <w:highlight w:val="none"/>
                <w:u w:val="none"/>
                <w:lang w:val="en-US" w:eastAsia="zh-CN"/>
              </w:rPr>
              <w:t>~</w:t>
            </w:r>
            <w:r>
              <w:rPr>
                <w:rFonts w:hint="eastAsia" w:ascii="宋体" w:hAnsi="宋体" w:eastAsia="宋体" w:cs="宋体"/>
                <w:color w:val="000000"/>
                <w:sz w:val="21"/>
                <w:szCs w:val="21"/>
                <w:highlight w:val="none"/>
                <w:lang w:val="en-US" w:eastAsia="zh-CN"/>
              </w:rPr>
              <w:t>80%)；</w:t>
            </w:r>
          </w:p>
          <w:p>
            <w:pPr>
              <w:keepNext w:val="0"/>
              <w:keepLines w:val="0"/>
              <w:pageBreakBefore w:val="0"/>
              <w:widowControl/>
              <w:kinsoku w:val="0"/>
              <w:wordWrap/>
              <w:overflowPunct/>
              <w:topLinePunct w:val="0"/>
              <w:autoSpaceDE w:val="0"/>
              <w:autoSpaceDN w:val="0"/>
              <w:bidi w:val="0"/>
              <w:adjustRightInd w:val="0"/>
              <w:snapToGrid w:val="0"/>
              <w:spacing w:line="380" w:lineRule="exact"/>
              <w:textAlignment w:val="baseline"/>
              <w:rPr>
                <w:rFonts w:ascii="宋体" w:hAnsi="宋体" w:cs="宋体"/>
                <w:color w:val="auto"/>
                <w:sz w:val="21"/>
                <w:szCs w:val="21"/>
                <w:highlight w:val="none"/>
                <w:shd w:val="clear" w:color="auto" w:fill="auto"/>
              </w:rPr>
            </w:pPr>
            <w:r>
              <w:rPr>
                <w:rFonts w:hint="eastAsia" w:ascii="宋体" w:hAnsi="宋体" w:eastAsia="宋体" w:cs="宋体"/>
                <w:color w:val="000000"/>
                <w:sz w:val="21"/>
                <w:szCs w:val="21"/>
                <w:highlight w:val="none"/>
                <w:lang w:val="en-US" w:eastAsia="zh-CN"/>
              </w:rPr>
              <w:t>（3）一般但不被评定为不响应的，</w:t>
            </w:r>
            <w:r>
              <w:rPr>
                <w:rFonts w:hint="eastAsia" w:ascii="宋体" w:hAnsi="宋体" w:eastAsia="宋体" w:cs="宋体"/>
                <w:color w:val="000000"/>
                <w:sz w:val="21"/>
                <w:szCs w:val="21"/>
                <w:highlight w:val="none"/>
                <w:lang w:val="zh-CN" w:eastAsia="zh-CN"/>
              </w:rPr>
              <w:t>得</w:t>
            </w:r>
            <w:r>
              <w:rPr>
                <w:rFonts w:hint="eastAsia" w:ascii="宋体" w:hAnsi="宋体" w:eastAsia="宋体" w:cs="宋体"/>
                <w:color w:val="000000"/>
                <w:sz w:val="21"/>
                <w:szCs w:val="21"/>
                <w:highlight w:val="none"/>
                <w:u w:val="single"/>
                <w:lang w:val="en-US" w:eastAsia="zh-CN"/>
              </w:rPr>
              <w:t>1.2</w:t>
            </w:r>
            <w:r>
              <w:rPr>
                <w:rFonts w:hint="eastAsia" w:ascii="宋体" w:hAnsi="宋体" w:eastAsia="宋体" w:cs="宋体"/>
                <w:color w:val="000000"/>
                <w:sz w:val="21"/>
                <w:szCs w:val="21"/>
                <w:highlight w:val="none"/>
                <w:lang w:val="zh-CN" w:eastAsia="zh-CN"/>
              </w:rPr>
              <w:t>分</w:t>
            </w:r>
            <w:r>
              <w:rPr>
                <w:rFonts w:hint="eastAsia" w:ascii="宋体" w:hAnsi="宋体" w:eastAsia="宋体" w:cs="宋体"/>
                <w:color w:val="000000"/>
                <w:sz w:val="21"/>
                <w:szCs w:val="21"/>
                <w:highlight w:val="none"/>
                <w:lang w:val="en-US" w:eastAsia="zh-CN"/>
              </w:rPr>
              <w:t>(满分分值的60%)。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083" w:hRule="atLeast"/>
        </w:trPr>
        <w:tc>
          <w:tcPr>
            <w:tcW w:w="1042" w:type="dxa"/>
            <w:vMerge w:val="restart"/>
            <w:tcBorders>
              <w:right w:val="single" w:color="auto" w:sz="4" w:space="0"/>
            </w:tcBorders>
            <w:vAlign w:val="center"/>
          </w:tcPr>
          <w:p>
            <w:pPr>
              <w:spacing w:line="360" w:lineRule="auto"/>
              <w:ind w:right="113"/>
              <w:jc w:val="center"/>
              <w:rPr>
                <w:rFonts w:hint="eastAsia" w:ascii="宋体" w:hAnsi="宋体" w:eastAsia="宋体" w:cs="宋体"/>
                <w:color w:val="auto"/>
                <w:szCs w:val="21"/>
                <w:highlight w:val="none"/>
                <w:shd w:val="clear" w:color="auto" w:fill="auto"/>
                <w:lang w:val="en-US" w:eastAsia="zh-CN"/>
              </w:rPr>
            </w:pPr>
            <w:r>
              <w:rPr>
                <w:rFonts w:hint="eastAsia" w:ascii="宋体" w:hAnsi="宋体" w:cs="宋体"/>
                <w:color w:val="auto"/>
                <w:szCs w:val="21"/>
                <w:highlight w:val="none"/>
                <w:shd w:val="clear" w:color="auto" w:fill="auto"/>
              </w:rPr>
              <w:t>2.2.</w:t>
            </w:r>
            <w:r>
              <w:rPr>
                <w:rFonts w:hint="eastAsia" w:cs="宋体"/>
                <w:color w:val="auto"/>
                <w:szCs w:val="21"/>
                <w:highlight w:val="none"/>
                <w:shd w:val="clear" w:color="auto" w:fill="auto"/>
                <w:lang w:val="en-US" w:eastAsia="zh-CN"/>
              </w:rPr>
              <w:t>4</w:t>
            </w:r>
          </w:p>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w:t>
            </w:r>
          </w:p>
        </w:tc>
        <w:tc>
          <w:tcPr>
            <w:tcW w:w="568" w:type="dxa"/>
            <w:vMerge w:val="restart"/>
            <w:tcBorders>
              <w:left w:val="single" w:color="auto" w:sz="4" w:space="0"/>
              <w:right w:val="single" w:color="auto" w:sz="4" w:space="0"/>
            </w:tcBorders>
            <w:vAlign w:val="center"/>
          </w:tcPr>
          <w:p>
            <w:pPr>
              <w:spacing w:line="360" w:lineRule="auto"/>
              <w:rPr>
                <w:rFonts w:hint="default" w:ascii="宋体" w:hAnsi="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主要</w:t>
            </w:r>
            <w:r>
              <w:rPr>
                <w:rFonts w:hint="eastAsia" w:ascii="宋体" w:hAnsi="宋体" w:cs="宋体"/>
                <w:color w:val="auto"/>
                <w:szCs w:val="21"/>
                <w:highlight w:val="none"/>
                <w:shd w:val="clear" w:color="auto" w:fill="auto"/>
                <w:lang w:val="en-US" w:eastAsia="zh-CN"/>
              </w:rPr>
              <w:t>人员</w:t>
            </w:r>
          </w:p>
          <w:p>
            <w:pPr>
              <w:spacing w:line="360" w:lineRule="auto"/>
              <w:ind w:right="113"/>
              <w:jc w:val="center"/>
              <w:rPr>
                <w:rFonts w:ascii="宋体" w:hAnsi="宋体" w:cs="宋体"/>
                <w:color w:val="auto"/>
                <w:szCs w:val="21"/>
                <w:highlight w:val="none"/>
                <w:shd w:val="clear" w:color="auto" w:fill="auto"/>
              </w:rPr>
            </w:pPr>
          </w:p>
        </w:tc>
        <w:tc>
          <w:tcPr>
            <w:tcW w:w="634" w:type="dxa"/>
            <w:vMerge w:val="restart"/>
            <w:tcBorders>
              <w:left w:val="single" w:color="auto" w:sz="4" w:space="0"/>
            </w:tcBorders>
            <w:vAlign w:val="center"/>
          </w:tcPr>
          <w:p>
            <w:pPr>
              <w:spacing w:line="360" w:lineRule="auto"/>
              <w:jc w:val="center"/>
              <w:rPr>
                <w:rFonts w:hint="eastAsia" w:ascii="宋体" w:hAnsi="宋体" w:eastAsia="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0</w:t>
            </w:r>
            <w:r>
              <w:rPr>
                <w:rFonts w:hint="eastAsia" w:ascii="宋体" w:hAnsi="宋体" w:eastAsia="宋体" w:cs="宋体"/>
                <w:color w:val="auto"/>
                <w:szCs w:val="21"/>
                <w:highlight w:val="none"/>
                <w:shd w:val="clear" w:color="auto" w:fill="auto"/>
                <w:lang w:val="en-US" w:eastAsia="zh-CN"/>
              </w:rPr>
              <w:t>分</w:t>
            </w:r>
          </w:p>
        </w:tc>
        <w:tc>
          <w:tcPr>
            <w:tcW w:w="946" w:type="dxa"/>
            <w:tcBorders>
              <w:bottom w:val="single" w:color="auto" w:sz="4" w:space="0"/>
              <w:right w:val="single" w:color="auto" w:sz="4" w:space="0"/>
            </w:tcBorders>
            <w:vAlign w:val="center"/>
          </w:tcPr>
          <w:p>
            <w:pPr>
              <w:spacing w:line="360" w:lineRule="auto"/>
              <w:jc w:val="center"/>
              <w:rPr>
                <w:rFonts w:hint="eastAsia" w:ascii="宋体" w:hAnsi="宋体" w:eastAsia="宋体" w:cs="宋体"/>
                <w:color w:val="auto"/>
                <w:szCs w:val="21"/>
                <w:highlight w:val="none"/>
                <w:shd w:val="clear" w:color="auto" w:fill="auto"/>
                <w:lang w:val="en-US" w:eastAsia="zh-CN"/>
              </w:rPr>
            </w:pPr>
          </w:p>
          <w:p>
            <w:pPr>
              <w:spacing w:line="360" w:lineRule="auto"/>
              <w:ind w:firstLine="220" w:firstLineChars="100"/>
              <w:rPr>
                <w:rFonts w:hint="eastAsia"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项目</w:t>
            </w:r>
          </w:p>
          <w:p>
            <w:pPr>
              <w:spacing w:line="360" w:lineRule="auto"/>
              <w:ind w:firstLine="220" w:firstLineChars="100"/>
              <w:rPr>
                <w:rFonts w:hint="eastAsia"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经理</w:t>
            </w:r>
          </w:p>
          <w:p>
            <w:pPr>
              <w:spacing w:line="360" w:lineRule="auto"/>
              <w:rPr>
                <w:rFonts w:hint="default" w:ascii="宋体" w:hAnsi="宋体" w:cs="宋体"/>
                <w:color w:val="auto"/>
                <w:szCs w:val="21"/>
                <w:highlight w:val="none"/>
                <w:shd w:val="clear" w:color="auto" w:fill="auto"/>
                <w:lang w:val="en-US" w:eastAsia="zh-CN"/>
              </w:rPr>
            </w:pPr>
          </w:p>
          <w:p>
            <w:pPr>
              <w:spacing w:line="360" w:lineRule="auto"/>
              <w:jc w:val="center"/>
              <w:rPr>
                <w:rFonts w:hint="eastAsia" w:ascii="宋体" w:hAnsi="宋体" w:eastAsia="宋体" w:cs="宋体"/>
                <w:color w:val="auto"/>
                <w:szCs w:val="21"/>
                <w:highlight w:val="none"/>
                <w:shd w:val="clear" w:color="auto" w:fill="auto"/>
                <w:lang w:val="en-US" w:eastAsia="zh-CN"/>
              </w:rPr>
            </w:pPr>
          </w:p>
        </w:tc>
        <w:tc>
          <w:tcPr>
            <w:tcW w:w="840" w:type="dxa"/>
            <w:tcBorders>
              <w:left w:val="single" w:color="auto" w:sz="4" w:space="0"/>
              <w:bottom w:val="single" w:color="auto" w:sz="4" w:space="0"/>
            </w:tcBorders>
            <w:vAlign w:val="center"/>
          </w:tcPr>
          <w:p>
            <w:pPr>
              <w:spacing w:line="360" w:lineRule="auto"/>
              <w:jc w:val="center"/>
              <w:rPr>
                <w:rFonts w:hint="eastAsia" w:ascii="宋体" w:hAnsi="宋体" w:eastAsia="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0</w:t>
            </w:r>
            <w:r>
              <w:rPr>
                <w:rFonts w:hint="eastAsia" w:ascii="宋体" w:hAnsi="宋体" w:eastAsia="宋体" w:cs="宋体"/>
                <w:color w:val="auto"/>
                <w:szCs w:val="21"/>
                <w:highlight w:val="none"/>
                <w:shd w:val="clear" w:color="auto" w:fill="auto"/>
                <w:lang w:val="en-US" w:eastAsia="zh-CN"/>
              </w:rPr>
              <w:t>分</w:t>
            </w:r>
          </w:p>
        </w:tc>
        <w:tc>
          <w:tcPr>
            <w:tcW w:w="5600" w:type="dxa"/>
            <w:tcBorders>
              <w:bottom w:val="single" w:color="auto" w:sz="4" w:space="0"/>
            </w:tcBorders>
            <w:vAlign w:val="center"/>
          </w:tcPr>
          <w:p>
            <w:pPr>
              <w:keepNext w:val="0"/>
              <w:keepLines w:val="0"/>
              <w:widowControl/>
              <w:suppressLineNumbers w:val="0"/>
              <w:ind w:firstLine="1400" w:firstLineChars="700"/>
              <w:jc w:val="left"/>
              <w:rPr>
                <w:color w:val="auto"/>
              </w:rPr>
            </w:pPr>
            <w:r>
              <w:rPr>
                <w:rFonts w:hint="eastAsia" w:cs="宋体"/>
                <w:color w:val="auto"/>
                <w:kern w:val="0"/>
                <w:sz w:val="20"/>
                <w:szCs w:val="20"/>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547" w:hRule="atLeast"/>
        </w:trPr>
        <w:tc>
          <w:tcPr>
            <w:tcW w:w="1042" w:type="dxa"/>
            <w:vMerge w:val="continue"/>
            <w:tcBorders>
              <w:right w:val="single" w:color="auto" w:sz="4" w:space="0"/>
            </w:tcBorders>
            <w:vAlign w:val="center"/>
          </w:tcPr>
          <w:p>
            <w:pPr>
              <w:spacing w:line="360" w:lineRule="auto"/>
              <w:ind w:right="113"/>
              <w:jc w:val="center"/>
              <w:rPr>
                <w:rFonts w:hint="eastAsia" w:ascii="宋体" w:hAnsi="宋体" w:cs="宋体"/>
                <w:color w:val="auto"/>
                <w:szCs w:val="21"/>
                <w:highlight w:val="none"/>
                <w:shd w:val="clear" w:color="auto" w:fill="auto"/>
              </w:rPr>
            </w:pPr>
          </w:p>
        </w:tc>
        <w:tc>
          <w:tcPr>
            <w:tcW w:w="568" w:type="dxa"/>
            <w:vMerge w:val="continue"/>
            <w:tcBorders>
              <w:left w:val="single" w:color="auto" w:sz="4" w:space="0"/>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p>
        </w:tc>
        <w:tc>
          <w:tcPr>
            <w:tcW w:w="634" w:type="dxa"/>
            <w:vMerge w:val="continue"/>
            <w:tcBorders>
              <w:left w:val="single" w:color="auto" w:sz="4" w:space="0"/>
            </w:tcBorders>
            <w:vAlign w:val="center"/>
          </w:tcPr>
          <w:p>
            <w:pPr>
              <w:spacing w:line="360" w:lineRule="auto"/>
              <w:jc w:val="center"/>
              <w:rPr>
                <w:rFonts w:hint="eastAsia" w:cs="宋体"/>
                <w:color w:val="auto"/>
                <w:szCs w:val="21"/>
                <w:highlight w:val="none"/>
                <w:shd w:val="clear" w:color="auto" w:fill="auto"/>
                <w:lang w:val="en-US" w:eastAsia="zh-CN"/>
              </w:rPr>
            </w:pPr>
          </w:p>
        </w:tc>
        <w:tc>
          <w:tcPr>
            <w:tcW w:w="946" w:type="dxa"/>
            <w:tcBorders>
              <w:bottom w:val="single" w:color="auto" w:sz="4" w:space="0"/>
              <w:right w:val="single" w:color="auto" w:sz="4" w:space="0"/>
            </w:tcBorders>
            <w:vAlign w:val="center"/>
          </w:tcPr>
          <w:p>
            <w:pPr>
              <w:spacing w:line="360" w:lineRule="auto"/>
              <w:jc w:val="center"/>
              <w:rPr>
                <w:rFonts w:hint="eastAsia" w:ascii="宋体" w:hAnsi="宋体" w:eastAsia="宋体" w:cs="宋体"/>
                <w:color w:val="auto"/>
                <w:szCs w:val="21"/>
                <w:highlight w:val="none"/>
                <w:shd w:val="clear" w:color="auto" w:fill="auto"/>
                <w:lang w:val="en-US" w:eastAsia="zh-CN"/>
              </w:rPr>
            </w:pPr>
          </w:p>
          <w:p>
            <w:pPr>
              <w:spacing w:line="360" w:lineRule="auto"/>
              <w:ind w:firstLine="220" w:firstLineChars="100"/>
              <w:rPr>
                <w:rFonts w:hint="eastAsia"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项目</w:t>
            </w:r>
          </w:p>
          <w:p>
            <w:pPr>
              <w:spacing w:line="360" w:lineRule="auto"/>
              <w:ind w:firstLine="220" w:firstLineChars="100"/>
              <w:rPr>
                <w:rFonts w:hint="default" w:ascii="宋体" w:hAnsi="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总工</w:t>
            </w:r>
          </w:p>
          <w:p>
            <w:pPr>
              <w:spacing w:line="360" w:lineRule="auto"/>
              <w:jc w:val="center"/>
              <w:rPr>
                <w:rFonts w:hint="eastAsia" w:ascii="宋体" w:hAnsi="宋体" w:eastAsia="宋体" w:cs="宋体"/>
                <w:color w:val="auto"/>
                <w:szCs w:val="21"/>
                <w:highlight w:val="none"/>
                <w:shd w:val="clear" w:color="auto" w:fill="auto"/>
                <w:lang w:val="en-US" w:eastAsia="zh-CN"/>
              </w:rPr>
            </w:pPr>
          </w:p>
        </w:tc>
        <w:tc>
          <w:tcPr>
            <w:tcW w:w="840" w:type="dxa"/>
            <w:tcBorders>
              <w:left w:val="single" w:color="auto" w:sz="4" w:space="0"/>
              <w:bottom w:val="single" w:color="auto" w:sz="4" w:space="0"/>
            </w:tcBorders>
            <w:vAlign w:val="center"/>
          </w:tcPr>
          <w:p>
            <w:pPr>
              <w:spacing w:line="360" w:lineRule="auto"/>
              <w:jc w:val="center"/>
              <w:rPr>
                <w:rFonts w:hint="eastAsia" w:ascii="宋体" w:hAnsi="宋体" w:eastAsia="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0</w:t>
            </w:r>
            <w:r>
              <w:rPr>
                <w:rFonts w:hint="eastAsia" w:ascii="宋体" w:hAnsi="宋体" w:eastAsia="宋体" w:cs="宋体"/>
                <w:color w:val="auto"/>
                <w:szCs w:val="21"/>
                <w:highlight w:val="none"/>
                <w:shd w:val="clear" w:color="auto" w:fill="auto"/>
                <w:lang w:val="en-US" w:eastAsia="zh-CN"/>
              </w:rPr>
              <w:t>分</w:t>
            </w:r>
          </w:p>
        </w:tc>
        <w:tc>
          <w:tcPr>
            <w:tcW w:w="5600" w:type="dxa"/>
            <w:tcBorders>
              <w:bottom w:val="single" w:color="auto" w:sz="4" w:space="0"/>
            </w:tcBorders>
            <w:vAlign w:val="center"/>
          </w:tcPr>
          <w:p>
            <w:pPr>
              <w:keepNext w:val="0"/>
              <w:keepLines w:val="0"/>
              <w:widowControl/>
              <w:suppressLineNumbers w:val="0"/>
              <w:ind w:firstLine="1400" w:firstLineChars="700"/>
              <w:jc w:val="left"/>
              <w:rPr>
                <w:rFonts w:hint="eastAsia" w:ascii="宋体" w:hAnsi="宋体" w:eastAsia="宋体" w:cs="宋体"/>
                <w:color w:val="auto"/>
                <w:kern w:val="0"/>
                <w:sz w:val="20"/>
                <w:szCs w:val="20"/>
                <w:lang w:val="en-US" w:eastAsia="zh-CN" w:bidi="ar"/>
              </w:rPr>
            </w:pPr>
            <w:r>
              <w:rPr>
                <w:rFonts w:hint="eastAsia" w:cs="宋体"/>
                <w:color w:val="auto"/>
                <w:kern w:val="0"/>
                <w:sz w:val="20"/>
                <w:szCs w:val="20"/>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528" w:hRule="atLeast"/>
        </w:trPr>
        <w:tc>
          <w:tcPr>
            <w:tcW w:w="1042" w:type="dxa"/>
            <w:tcBorders>
              <w:right w:val="single" w:color="auto" w:sz="4" w:space="0"/>
            </w:tcBorders>
            <w:vAlign w:val="center"/>
          </w:tcPr>
          <w:p>
            <w:pPr>
              <w:spacing w:line="360" w:lineRule="auto"/>
              <w:ind w:right="113"/>
              <w:jc w:val="center"/>
              <w:rPr>
                <w:rFonts w:hint="eastAsia" w:ascii="宋体" w:hAnsi="宋体" w:eastAsia="宋体" w:cs="宋体"/>
                <w:color w:val="auto"/>
                <w:szCs w:val="21"/>
                <w:highlight w:val="none"/>
                <w:shd w:val="clear" w:color="auto" w:fill="auto"/>
                <w:lang w:val="en-US" w:eastAsia="zh-CN"/>
              </w:rPr>
            </w:pPr>
            <w:r>
              <w:rPr>
                <w:rFonts w:hint="eastAsia" w:ascii="宋体" w:hAnsi="宋体" w:cs="宋体"/>
                <w:color w:val="auto"/>
                <w:szCs w:val="21"/>
                <w:highlight w:val="none"/>
                <w:shd w:val="clear" w:color="auto" w:fill="auto"/>
              </w:rPr>
              <w:t>2.2.</w:t>
            </w:r>
            <w:r>
              <w:rPr>
                <w:rFonts w:hint="eastAsia" w:cs="宋体"/>
                <w:color w:val="auto"/>
                <w:szCs w:val="21"/>
                <w:highlight w:val="none"/>
                <w:shd w:val="clear" w:color="auto" w:fill="auto"/>
                <w:lang w:val="en-US" w:eastAsia="zh-CN"/>
              </w:rPr>
              <w:t>4</w:t>
            </w:r>
          </w:p>
          <w:p>
            <w:pPr>
              <w:spacing w:line="360" w:lineRule="auto"/>
              <w:ind w:right="113" w:rightChars="0"/>
              <w:jc w:val="center"/>
              <w:rPr>
                <w:rFonts w:hint="eastAsia" w:ascii="宋体" w:hAnsi="宋体" w:eastAsia="宋体" w:cs="宋体"/>
                <w:color w:val="auto"/>
                <w:sz w:val="21"/>
                <w:szCs w:val="21"/>
                <w:highlight w:val="none"/>
                <w:shd w:val="clear" w:color="auto" w:fill="auto"/>
                <w:lang w:val="en-US" w:eastAsia="zh-CN" w:bidi="zh-CN"/>
              </w:rPr>
            </w:pPr>
            <w:r>
              <w:rPr>
                <w:rFonts w:hint="eastAsia" w:ascii="宋体" w:hAnsi="宋体" w:cs="宋体"/>
                <w:color w:val="auto"/>
                <w:szCs w:val="21"/>
                <w:highlight w:val="none"/>
                <w:shd w:val="clear" w:color="auto" w:fill="auto"/>
              </w:rPr>
              <w:t>（</w:t>
            </w:r>
            <w:r>
              <w:rPr>
                <w:rFonts w:hint="eastAsia" w:cs="宋体"/>
                <w:color w:val="auto"/>
                <w:szCs w:val="21"/>
                <w:highlight w:val="none"/>
                <w:shd w:val="clear" w:color="auto" w:fill="auto"/>
                <w:lang w:val="en-US" w:eastAsia="zh-CN"/>
              </w:rPr>
              <w:t>3</w:t>
            </w:r>
            <w:r>
              <w:rPr>
                <w:rFonts w:hint="eastAsia" w:ascii="宋体" w:hAnsi="宋体" w:cs="宋体"/>
                <w:color w:val="auto"/>
                <w:szCs w:val="21"/>
                <w:highlight w:val="none"/>
                <w:shd w:val="clear" w:color="auto" w:fill="auto"/>
              </w:rPr>
              <w:t>）</w:t>
            </w:r>
          </w:p>
        </w:tc>
        <w:tc>
          <w:tcPr>
            <w:tcW w:w="568" w:type="dxa"/>
            <w:tcBorders>
              <w:left w:val="single" w:color="auto" w:sz="4" w:space="0"/>
              <w:right w:val="single" w:color="auto" w:sz="4" w:space="0"/>
            </w:tcBorders>
            <w:vAlign w:val="center"/>
          </w:tcPr>
          <w:p>
            <w:pPr>
              <w:pStyle w:val="40"/>
              <w:shd w:val="clear" w:color="auto" w:fill="auto"/>
              <w:spacing w:before="0" w:line="360" w:lineRule="auto"/>
              <w:jc w:val="center"/>
              <w:rPr>
                <w:rFonts w:hint="eastAsia" w:ascii="宋体" w:hAnsi="宋体" w:eastAsia="宋体" w:cs="MingLiU"/>
                <w:color w:val="auto"/>
                <w:sz w:val="21"/>
                <w:szCs w:val="21"/>
                <w:highlight w:val="none"/>
                <w:shd w:val="clear" w:color="auto" w:fill="auto"/>
              </w:rPr>
            </w:pPr>
            <w:r>
              <w:rPr>
                <w:rFonts w:hint="eastAsia" w:ascii="宋体" w:hAnsi="宋体" w:eastAsia="宋体" w:cs="MingLiU"/>
                <w:color w:val="auto"/>
                <w:sz w:val="21"/>
                <w:szCs w:val="21"/>
                <w:highlight w:val="none"/>
                <w:shd w:val="clear" w:color="auto" w:fill="auto"/>
                <w:lang w:val="en-US" w:eastAsia="zh-CN"/>
              </w:rPr>
              <w:t>评标价</w:t>
            </w:r>
          </w:p>
          <w:p>
            <w:pPr>
              <w:pStyle w:val="40"/>
              <w:shd w:val="clear" w:color="auto" w:fill="auto"/>
              <w:spacing w:before="0" w:line="360" w:lineRule="auto"/>
              <w:jc w:val="center"/>
              <w:rPr>
                <w:rFonts w:hint="eastAsia" w:ascii="宋体" w:hAnsi="宋体" w:eastAsia="宋体" w:cs="MingLiU"/>
                <w:color w:val="auto"/>
                <w:spacing w:val="20"/>
                <w:sz w:val="21"/>
                <w:szCs w:val="21"/>
                <w:highlight w:val="none"/>
                <w:shd w:val="clear" w:color="auto" w:fill="auto"/>
                <w:lang w:val="en-US" w:eastAsia="zh-CN" w:bidi="ar-SA"/>
              </w:rPr>
            </w:pPr>
          </w:p>
        </w:tc>
        <w:tc>
          <w:tcPr>
            <w:tcW w:w="634" w:type="dxa"/>
            <w:tcBorders>
              <w:left w:val="single" w:color="auto" w:sz="4" w:space="0"/>
            </w:tcBorders>
            <w:vAlign w:val="center"/>
          </w:tcPr>
          <w:p>
            <w:pPr>
              <w:spacing w:line="360" w:lineRule="auto"/>
              <w:jc w:val="center"/>
              <w:rPr>
                <w:rFonts w:hint="default"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80分</w:t>
            </w:r>
          </w:p>
        </w:tc>
        <w:tc>
          <w:tcPr>
            <w:tcW w:w="7386" w:type="dxa"/>
            <w:gridSpan w:val="3"/>
            <w:tcBorders>
              <w:bottom w:val="single" w:color="auto" w:sz="4" w:space="0"/>
            </w:tcBorders>
            <w:vAlign w:val="center"/>
          </w:tcPr>
          <w:p>
            <w:pPr>
              <w:spacing w:line="360" w:lineRule="auto"/>
              <w:ind w:firstLine="210" w:firstLineChars="100"/>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评标价得分计算公式示例：</w:t>
            </w:r>
          </w:p>
          <w:p>
            <w:pPr>
              <w:spacing w:line="360" w:lineRule="auto"/>
              <w:ind w:firstLine="210" w:firstLineChars="100"/>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（1）如果投标人评标价﹥评标基准价，则评标价得分</w:t>
            </w:r>
          </w:p>
          <w:p>
            <w:pPr>
              <w:spacing w:line="360" w:lineRule="auto"/>
              <w:ind w:firstLine="210" w:firstLineChars="100"/>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=F-偏差率×100×D1；D1取1.5</w:t>
            </w:r>
          </w:p>
          <w:p>
            <w:pPr>
              <w:spacing w:line="360" w:lineRule="auto"/>
              <w:ind w:firstLine="210" w:firstLineChars="100"/>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（2）如果投标人评标价≤评标基准价，则评标价得分</w:t>
            </w:r>
          </w:p>
          <w:p>
            <w:pPr>
              <w:spacing w:line="360" w:lineRule="auto"/>
              <w:ind w:firstLine="210" w:firstLineChars="100"/>
              <w:rPr>
                <w:rFonts w:hint="eastAsia" w:ascii="宋体" w:hAnsi="宋体" w:eastAsia="宋体" w:cs="宋体"/>
                <w:bCs/>
                <w:color w:val="auto"/>
                <w:kern w:val="2"/>
                <w:sz w:val="21"/>
                <w:szCs w:val="21"/>
                <w:highlight w:val="none"/>
                <w:lang w:val="en-US" w:eastAsia="zh-CN" w:bidi="ar-SA"/>
              </w:rPr>
            </w:pPr>
            <w:r>
              <w:rPr>
                <w:rFonts w:hint="eastAsia" w:ascii="宋体" w:hAnsi="宋体" w:eastAsia="宋体" w:cs="宋体"/>
                <w:bCs/>
                <w:color w:val="auto"/>
                <w:kern w:val="2"/>
                <w:sz w:val="21"/>
                <w:szCs w:val="21"/>
                <w:highlight w:val="none"/>
                <w:lang w:val="en-US" w:eastAsia="zh-CN" w:bidi="ar-SA"/>
              </w:rPr>
              <w:t>=F+偏差率×100×D2；D2=0.5</w:t>
            </w:r>
          </w:p>
          <w:p>
            <w:pPr>
              <w:spacing w:line="360" w:lineRule="auto"/>
              <w:ind w:firstLine="210" w:firstLineChars="100"/>
              <w:rPr>
                <w:rFonts w:hint="eastAsia" w:ascii="宋体" w:hAnsi="宋体" w:eastAsia="宋体" w:cs="宋体"/>
                <w:color w:val="auto"/>
                <w:kern w:val="0"/>
                <w:sz w:val="20"/>
                <w:szCs w:val="20"/>
                <w:lang w:val="en-US" w:eastAsia="zh-CN" w:bidi="ar"/>
              </w:rPr>
            </w:pPr>
            <w:r>
              <w:rPr>
                <w:rFonts w:hint="eastAsia" w:ascii="宋体" w:hAnsi="宋体" w:eastAsia="宋体" w:cs="宋体"/>
                <w:bCs/>
                <w:color w:val="auto"/>
                <w:kern w:val="2"/>
                <w:sz w:val="21"/>
                <w:szCs w:val="21"/>
                <w:highlight w:val="none"/>
                <w:lang w:val="en-US" w:eastAsia="zh-CN" w:bidi="ar-SA"/>
              </w:rPr>
              <w:t>注：评标价得分四舍五入至小数点后四位。F取80。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802" w:hRule="atLeast"/>
        </w:trPr>
        <w:tc>
          <w:tcPr>
            <w:tcW w:w="1042" w:type="dxa"/>
            <w:vMerge w:val="restart"/>
            <w:tcBorders>
              <w:right w:val="single" w:color="auto" w:sz="4" w:space="0"/>
            </w:tcBorders>
            <w:vAlign w:val="center"/>
          </w:tcPr>
          <w:p>
            <w:pPr>
              <w:spacing w:line="360" w:lineRule="auto"/>
              <w:ind w:right="113"/>
              <w:jc w:val="center"/>
              <w:rPr>
                <w:rFonts w:ascii="宋体" w:hAnsi="宋体" w:cs="宋体"/>
                <w:color w:val="auto"/>
                <w:sz w:val="21"/>
                <w:szCs w:val="21"/>
                <w:highlight w:val="none"/>
                <w:shd w:val="clear" w:color="auto" w:fill="auto"/>
              </w:rPr>
            </w:pPr>
            <w:r>
              <w:rPr>
                <w:rFonts w:hint="eastAsia" w:ascii="宋体" w:hAnsi="宋体" w:cs="宋体"/>
                <w:color w:val="auto"/>
                <w:sz w:val="21"/>
                <w:szCs w:val="21"/>
                <w:highlight w:val="none"/>
                <w:shd w:val="clear" w:color="auto" w:fill="auto"/>
              </w:rPr>
              <w:t>2.2.</w:t>
            </w:r>
            <w:r>
              <w:rPr>
                <w:rFonts w:hint="eastAsia" w:cs="宋体"/>
                <w:color w:val="auto"/>
                <w:sz w:val="21"/>
                <w:szCs w:val="21"/>
                <w:highlight w:val="none"/>
                <w:shd w:val="clear" w:color="auto" w:fill="auto"/>
                <w:lang w:val="en-US" w:eastAsia="zh-CN"/>
              </w:rPr>
              <w:t>4</w:t>
            </w:r>
            <w:r>
              <w:rPr>
                <w:rFonts w:hint="eastAsia" w:ascii="宋体" w:hAnsi="宋体" w:cs="宋体"/>
                <w:color w:val="auto"/>
                <w:sz w:val="21"/>
                <w:szCs w:val="21"/>
                <w:highlight w:val="none"/>
                <w:shd w:val="clear" w:color="auto" w:fill="auto"/>
              </w:rPr>
              <w:t>（</w:t>
            </w:r>
            <w:r>
              <w:rPr>
                <w:rFonts w:hint="eastAsia" w:cs="宋体"/>
                <w:color w:val="auto"/>
                <w:sz w:val="21"/>
                <w:szCs w:val="21"/>
                <w:highlight w:val="none"/>
                <w:shd w:val="clear" w:color="auto" w:fill="auto"/>
                <w:lang w:val="en-US" w:eastAsia="zh-CN"/>
              </w:rPr>
              <w:t>4</w:t>
            </w:r>
            <w:r>
              <w:rPr>
                <w:rFonts w:hint="eastAsia" w:ascii="宋体" w:hAnsi="宋体" w:cs="宋体"/>
                <w:color w:val="auto"/>
                <w:sz w:val="21"/>
                <w:szCs w:val="21"/>
                <w:highlight w:val="none"/>
                <w:shd w:val="clear" w:color="auto" w:fill="auto"/>
              </w:rPr>
              <w:t>）</w:t>
            </w:r>
          </w:p>
        </w:tc>
        <w:tc>
          <w:tcPr>
            <w:tcW w:w="1202" w:type="dxa"/>
            <w:gridSpan w:val="2"/>
            <w:vMerge w:val="restart"/>
            <w:tcBorders>
              <w:left w:val="single" w:color="auto" w:sz="4" w:space="0"/>
            </w:tcBorders>
            <w:vAlign w:val="center"/>
          </w:tcPr>
          <w:p>
            <w:pPr>
              <w:pStyle w:val="40"/>
              <w:shd w:val="clear" w:color="auto" w:fill="auto"/>
              <w:spacing w:before="0" w:line="360" w:lineRule="auto"/>
              <w:jc w:val="center"/>
              <w:rPr>
                <w:rFonts w:ascii="宋体" w:hAnsi="宋体" w:cs="宋体"/>
                <w:color w:val="auto"/>
                <w:sz w:val="21"/>
                <w:szCs w:val="21"/>
                <w:highlight w:val="none"/>
                <w:shd w:val="clear" w:color="auto" w:fill="auto"/>
              </w:rPr>
            </w:pPr>
            <w:r>
              <w:rPr>
                <w:rFonts w:hint="eastAsia" w:ascii="宋体" w:hAnsi="宋体" w:eastAsia="宋体" w:cs="MingLiU"/>
                <w:color w:val="auto"/>
                <w:sz w:val="21"/>
                <w:szCs w:val="21"/>
                <w:highlight w:val="none"/>
                <w:shd w:val="clear" w:color="auto" w:fill="auto"/>
              </w:rPr>
              <w:t>其他因素</w:t>
            </w:r>
          </w:p>
        </w:tc>
        <w:tc>
          <w:tcPr>
            <w:tcW w:w="946" w:type="dxa"/>
            <w:tcBorders>
              <w:right w:val="single" w:color="auto" w:sz="4" w:space="0"/>
            </w:tcBorders>
            <w:vAlign w:val="center"/>
          </w:tcPr>
          <w:p>
            <w:pPr>
              <w:jc w:val="center"/>
              <w:rPr>
                <w:rFonts w:ascii="宋体" w:hAnsi="宋体" w:cs="宋体"/>
                <w:color w:val="auto"/>
                <w:sz w:val="21"/>
                <w:szCs w:val="21"/>
                <w:highlight w:val="none"/>
                <w:shd w:val="clear" w:color="auto" w:fill="auto"/>
              </w:rPr>
            </w:pPr>
            <w:r>
              <w:rPr>
                <w:rFonts w:hint="eastAsia"/>
                <w:highlight w:val="none"/>
              </w:rPr>
              <w:t>技术能力</w:t>
            </w:r>
          </w:p>
        </w:tc>
        <w:tc>
          <w:tcPr>
            <w:tcW w:w="840" w:type="dxa"/>
            <w:tcBorders>
              <w:left w:val="single" w:color="auto" w:sz="4" w:space="0"/>
            </w:tcBorders>
            <w:vAlign w:val="center"/>
          </w:tcPr>
          <w:p>
            <w:pPr>
              <w:jc w:val="center"/>
              <w:rPr>
                <w:rFonts w:ascii="宋体" w:hAnsi="宋体" w:cs="宋体"/>
                <w:color w:val="auto"/>
                <w:sz w:val="21"/>
                <w:szCs w:val="21"/>
                <w:highlight w:val="none"/>
                <w:shd w:val="clear" w:color="auto" w:fill="auto"/>
              </w:rPr>
            </w:pPr>
            <w:r>
              <w:rPr>
                <w:rFonts w:hint="eastAsia"/>
                <w:highlight w:val="none"/>
                <w:lang w:val="en-US" w:eastAsia="zh-CN"/>
              </w:rPr>
              <w:t>0分</w:t>
            </w:r>
          </w:p>
        </w:tc>
        <w:tc>
          <w:tcPr>
            <w:tcW w:w="5600" w:type="dxa"/>
            <w:vAlign w:val="center"/>
          </w:tcPr>
          <w:p>
            <w:pPr>
              <w:jc w:val="center"/>
              <w:rPr>
                <w:color w:val="auto"/>
              </w:rPr>
            </w:pPr>
            <w:r>
              <w:rPr>
                <w:rFonts w:hint="eastAsia"/>
                <w:highlight w:val="none"/>
                <w:lang w:val="en-US" w:eastAsia="zh-CN"/>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802" w:hRule="atLeast"/>
        </w:trPr>
        <w:tc>
          <w:tcPr>
            <w:tcW w:w="1042" w:type="dxa"/>
            <w:vMerge w:val="continue"/>
            <w:tcBorders>
              <w:right w:val="single" w:color="auto" w:sz="4" w:space="0"/>
            </w:tcBorders>
            <w:vAlign w:val="center"/>
          </w:tcPr>
          <w:p>
            <w:pPr>
              <w:spacing w:line="360" w:lineRule="auto"/>
              <w:ind w:right="113"/>
              <w:jc w:val="center"/>
              <w:rPr>
                <w:rFonts w:hint="eastAsia" w:ascii="宋体" w:hAnsi="宋体" w:cs="宋体"/>
                <w:color w:val="auto"/>
                <w:sz w:val="21"/>
                <w:szCs w:val="21"/>
                <w:highlight w:val="none"/>
                <w:shd w:val="clear" w:color="auto" w:fill="auto"/>
              </w:rPr>
            </w:pPr>
          </w:p>
        </w:tc>
        <w:tc>
          <w:tcPr>
            <w:tcW w:w="1202" w:type="dxa"/>
            <w:gridSpan w:val="2"/>
            <w:vMerge w:val="continue"/>
            <w:tcBorders>
              <w:left w:val="single" w:color="auto" w:sz="4" w:space="0"/>
            </w:tcBorders>
            <w:vAlign w:val="center"/>
          </w:tcPr>
          <w:p>
            <w:pPr>
              <w:pStyle w:val="40"/>
              <w:shd w:val="clear" w:color="auto" w:fill="auto"/>
              <w:spacing w:before="0" w:line="360" w:lineRule="auto"/>
              <w:jc w:val="center"/>
              <w:rPr>
                <w:rFonts w:hint="eastAsia" w:ascii="宋体" w:hAnsi="宋体" w:eastAsia="宋体" w:cs="MingLiU"/>
                <w:color w:val="auto"/>
                <w:sz w:val="21"/>
                <w:szCs w:val="21"/>
                <w:highlight w:val="none"/>
                <w:shd w:val="clear" w:color="auto" w:fill="auto"/>
              </w:rPr>
            </w:pPr>
          </w:p>
        </w:tc>
        <w:tc>
          <w:tcPr>
            <w:tcW w:w="946" w:type="dxa"/>
            <w:tcBorders>
              <w:right w:val="single" w:color="auto" w:sz="4" w:space="0"/>
            </w:tcBorders>
            <w:vAlign w:val="center"/>
          </w:tcPr>
          <w:p>
            <w:pPr>
              <w:spacing w:line="360" w:lineRule="auto"/>
              <w:rPr>
                <w:rFonts w:hint="default" w:ascii="宋体" w:hAnsi="宋体" w:cs="宋体"/>
                <w:color w:val="auto"/>
                <w:szCs w:val="21"/>
                <w:highlight w:val="none"/>
                <w:shd w:val="clear" w:color="auto" w:fill="auto"/>
                <w:lang w:val="en-US" w:eastAsia="zh-CN"/>
              </w:rPr>
            </w:pPr>
            <w:r>
              <w:rPr>
                <w:rFonts w:hint="eastAsia" w:cs="宋体"/>
                <w:color w:val="auto"/>
                <w:szCs w:val="21"/>
                <w:highlight w:val="none"/>
                <w:shd w:val="clear" w:color="auto" w:fill="auto"/>
                <w:lang w:val="en-US" w:eastAsia="zh-CN"/>
              </w:rPr>
              <w:t>财务能力</w:t>
            </w:r>
          </w:p>
          <w:p>
            <w:pPr>
              <w:spacing w:line="360" w:lineRule="auto"/>
              <w:rPr>
                <w:rFonts w:hint="eastAsia" w:ascii="宋体" w:hAnsi="宋体"/>
                <w:color w:val="auto"/>
                <w:sz w:val="21"/>
                <w:szCs w:val="21"/>
                <w:highlight w:val="none"/>
                <w:shd w:val="clear" w:color="auto" w:fill="auto"/>
              </w:rPr>
            </w:pPr>
          </w:p>
        </w:tc>
        <w:tc>
          <w:tcPr>
            <w:tcW w:w="840" w:type="dxa"/>
            <w:tcBorders>
              <w:left w:val="single" w:color="auto" w:sz="4" w:space="0"/>
            </w:tcBorders>
            <w:vAlign w:val="center"/>
          </w:tcPr>
          <w:p>
            <w:pPr>
              <w:spacing w:line="360" w:lineRule="auto"/>
              <w:jc w:val="center"/>
              <w:rPr>
                <w:rFonts w:hint="eastAsia"/>
                <w:color w:val="auto"/>
                <w:sz w:val="21"/>
                <w:szCs w:val="21"/>
                <w:highlight w:val="none"/>
                <w:u w:val="single"/>
                <w:shd w:val="clear" w:color="auto" w:fill="auto"/>
                <w:lang w:val="en-US" w:eastAsia="zh-CN"/>
              </w:rPr>
            </w:pPr>
            <w:r>
              <w:rPr>
                <w:rFonts w:hint="eastAsia"/>
                <w:color w:val="auto"/>
                <w:sz w:val="21"/>
                <w:szCs w:val="21"/>
                <w:highlight w:val="none"/>
                <w:u w:val="none"/>
                <w:shd w:val="clear" w:color="auto" w:fill="auto"/>
                <w:lang w:val="en-US" w:eastAsia="zh-CN"/>
              </w:rPr>
              <w:t>1分</w:t>
            </w:r>
          </w:p>
        </w:tc>
        <w:tc>
          <w:tcPr>
            <w:tcW w:w="5600" w:type="dxa"/>
            <w:vAlign w:val="center"/>
          </w:tcPr>
          <w:p>
            <w:pPr>
              <w:spacing w:before="50" w:line="264" w:lineRule="auto"/>
              <w:ind w:right="32"/>
              <w:rPr>
                <w:rFonts w:hint="eastAsia" w:cs="宋体"/>
                <w:color w:val="000000"/>
                <w:spacing w:val="-1"/>
                <w:highlight w:val="none"/>
                <w:lang w:val="en-US" w:eastAsia="zh-CN"/>
              </w:rPr>
            </w:pPr>
            <w:r>
              <w:rPr>
                <w:rFonts w:hint="eastAsia" w:cs="宋体"/>
                <w:color w:val="000000"/>
                <w:spacing w:val="-1"/>
                <w:highlight w:val="none"/>
                <w:lang w:val="en-US" w:eastAsia="zh-CN"/>
              </w:rPr>
              <w:t>满足资格审查条件(财务最低要求)得0.1分；在此基础上，</w:t>
            </w:r>
          </w:p>
          <w:p>
            <w:pPr>
              <w:spacing w:before="50" w:line="264" w:lineRule="auto"/>
              <w:ind w:right="32"/>
              <w:rPr>
                <w:rFonts w:hint="eastAsia" w:cs="宋体"/>
                <w:color w:val="000000"/>
                <w:spacing w:val="-1"/>
                <w:highlight w:val="none"/>
                <w:lang w:val="en-US" w:eastAsia="zh-CN"/>
              </w:rPr>
            </w:pPr>
            <w:r>
              <w:rPr>
                <w:rFonts w:hint="eastAsia" w:cs="宋体"/>
                <w:color w:val="000000"/>
                <w:spacing w:val="-1"/>
                <w:highlight w:val="none"/>
                <w:lang w:val="en-US" w:eastAsia="zh-CN"/>
              </w:rPr>
              <w:t>（1）营运资金在</w:t>
            </w:r>
            <w:r>
              <w:rPr>
                <w:rFonts w:hint="eastAsia" w:cs="宋体"/>
                <w:color w:val="auto"/>
                <w:spacing w:val="-1"/>
                <w:highlight w:val="none"/>
                <w:lang w:val="en-US" w:eastAsia="zh-CN"/>
              </w:rPr>
              <w:t>600万</w:t>
            </w:r>
            <w:r>
              <w:rPr>
                <w:rFonts w:hint="eastAsia" w:cs="宋体"/>
                <w:color w:val="000000"/>
                <w:spacing w:val="-1"/>
                <w:highlight w:val="none"/>
                <w:lang w:val="en-US" w:eastAsia="zh-CN"/>
              </w:rPr>
              <w:t>元基础上，每增加200万元（尾数不计）加0.1分；最高加分不超过0.2分。</w:t>
            </w:r>
          </w:p>
          <w:p>
            <w:pPr>
              <w:spacing w:before="50" w:line="264" w:lineRule="auto"/>
              <w:ind w:right="32"/>
              <w:rPr>
                <w:rFonts w:hint="eastAsia" w:cs="宋体"/>
                <w:color w:val="000000"/>
                <w:spacing w:val="-1"/>
                <w:highlight w:val="none"/>
                <w:lang w:val="en-US" w:eastAsia="zh-CN"/>
              </w:rPr>
            </w:pPr>
            <w:r>
              <w:rPr>
                <w:rFonts w:hint="eastAsia" w:cs="宋体"/>
                <w:color w:val="000000"/>
                <w:spacing w:val="-1"/>
                <w:highlight w:val="none"/>
                <w:lang w:val="en-US" w:eastAsia="zh-CN"/>
              </w:rPr>
              <w:t>（2）近三个年度的年平均营业总收入在800万元基础上，每增加200万元（尾数不计）加0.1分；最高加分不超过0.2 分。</w:t>
            </w:r>
          </w:p>
          <w:p>
            <w:pPr>
              <w:spacing w:before="50" w:line="264" w:lineRule="auto"/>
              <w:ind w:right="32"/>
              <w:rPr>
                <w:rFonts w:hint="eastAsia" w:cs="宋体"/>
                <w:color w:val="000000"/>
                <w:spacing w:val="-1"/>
                <w:highlight w:val="none"/>
                <w:lang w:val="en-US" w:eastAsia="zh-CN"/>
              </w:rPr>
            </w:pPr>
            <w:r>
              <w:rPr>
                <w:rFonts w:hint="eastAsia" w:cs="宋体"/>
                <w:color w:val="000000"/>
                <w:spacing w:val="-1"/>
                <w:highlight w:val="none"/>
                <w:lang w:val="en-US" w:eastAsia="zh-CN"/>
              </w:rPr>
              <w:t>（3）近三个年度连续盈利且平均资产负债率低于5%加0.5分；最高加分不超过0.5分。</w:t>
            </w:r>
          </w:p>
          <w:p>
            <w:pPr>
              <w:spacing w:before="50" w:line="264" w:lineRule="auto"/>
              <w:ind w:right="32" w:firstLine="218" w:firstLineChars="100"/>
              <w:rPr>
                <w:rFonts w:hint="eastAsia" w:cs="宋体"/>
                <w:color w:val="000000"/>
                <w:spacing w:val="-1"/>
                <w:highlight w:val="none"/>
                <w:lang w:val="en-US" w:eastAsia="zh-CN"/>
              </w:rPr>
            </w:pPr>
            <w:r>
              <w:rPr>
                <w:rFonts w:hint="eastAsia" w:cs="宋体"/>
                <w:color w:val="000000"/>
                <w:spacing w:val="-1"/>
                <w:highlight w:val="none"/>
                <w:lang w:val="en-US" w:eastAsia="zh-CN"/>
              </w:rPr>
              <w:t>注：需提</w:t>
            </w:r>
            <w:r>
              <w:rPr>
                <w:rFonts w:hint="eastAsia" w:cs="宋体"/>
                <w:color w:val="auto"/>
                <w:spacing w:val="-1"/>
                <w:highlight w:val="none"/>
                <w:lang w:val="en-US" w:eastAsia="zh-CN"/>
              </w:rPr>
              <w:t>供2021-2023</w:t>
            </w:r>
            <w:r>
              <w:rPr>
                <w:rFonts w:hint="eastAsia" w:cs="宋体"/>
                <w:color w:val="000000"/>
                <w:spacing w:val="-1"/>
                <w:highlight w:val="none"/>
                <w:lang w:val="en-US" w:eastAsia="zh-CN"/>
              </w:rPr>
              <w:t>年度“全国公路建设市场信用信息管理系统”企业所填的信息截图或提供经会计师事务所或审计机构审计的审计报告复印件并加盖公章，否则不得分。</w:t>
            </w:r>
          </w:p>
          <w:p>
            <w:pPr>
              <w:spacing w:before="50" w:line="264" w:lineRule="auto"/>
              <w:ind w:right="32"/>
              <w:rPr>
                <w:rFonts w:hint="eastAsia" w:ascii="宋体" w:hAnsi="宋体" w:eastAsia="宋体" w:cs="宋体"/>
                <w:bCs/>
                <w:color w:val="auto"/>
                <w:szCs w:val="21"/>
                <w:highlight w:val="none"/>
                <w:lang w:val="en-US" w:eastAsia="zh-CN"/>
              </w:rPr>
            </w:pPr>
            <w:r>
              <w:rPr>
                <w:rFonts w:hint="eastAsia" w:cs="宋体"/>
                <w:color w:val="000000"/>
                <w:spacing w:val="-1"/>
                <w:highlight w:val="none"/>
                <w:lang w:val="en-US" w:eastAsia="zh-CN"/>
              </w:rPr>
              <w:t>计算公式：资产负债率=负债总额/资产总额×100%。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98" w:hRule="atLeast"/>
        </w:trPr>
        <w:tc>
          <w:tcPr>
            <w:tcW w:w="1042" w:type="dxa"/>
            <w:vMerge w:val="continue"/>
            <w:tcBorders>
              <w:right w:val="single" w:color="auto" w:sz="4" w:space="0"/>
            </w:tcBorders>
            <w:vAlign w:val="center"/>
          </w:tcPr>
          <w:p>
            <w:pPr>
              <w:spacing w:line="360" w:lineRule="auto"/>
              <w:ind w:right="113"/>
              <w:jc w:val="center"/>
              <w:rPr>
                <w:rFonts w:hint="eastAsia" w:ascii="宋体" w:hAnsi="宋体" w:cs="宋体"/>
                <w:color w:val="auto"/>
                <w:sz w:val="21"/>
                <w:szCs w:val="21"/>
                <w:highlight w:val="none"/>
                <w:shd w:val="clear" w:color="auto" w:fill="auto"/>
              </w:rPr>
            </w:pPr>
          </w:p>
        </w:tc>
        <w:tc>
          <w:tcPr>
            <w:tcW w:w="1202" w:type="dxa"/>
            <w:gridSpan w:val="2"/>
            <w:vMerge w:val="continue"/>
            <w:tcBorders>
              <w:left w:val="single" w:color="auto" w:sz="4" w:space="0"/>
            </w:tcBorders>
            <w:vAlign w:val="center"/>
          </w:tcPr>
          <w:p>
            <w:pPr>
              <w:pStyle w:val="40"/>
              <w:shd w:val="clear" w:color="auto" w:fill="auto"/>
              <w:spacing w:before="0" w:line="360" w:lineRule="auto"/>
              <w:jc w:val="center"/>
              <w:rPr>
                <w:rFonts w:hint="eastAsia" w:ascii="宋体" w:hAnsi="宋体" w:eastAsia="宋体" w:cs="MingLiU"/>
                <w:color w:val="auto"/>
                <w:sz w:val="21"/>
                <w:szCs w:val="21"/>
                <w:highlight w:val="none"/>
                <w:shd w:val="clear" w:color="auto" w:fill="auto"/>
              </w:rPr>
            </w:pPr>
          </w:p>
        </w:tc>
        <w:tc>
          <w:tcPr>
            <w:tcW w:w="946" w:type="dxa"/>
            <w:tcBorders>
              <w:right w:val="single" w:color="auto" w:sz="4" w:space="0"/>
            </w:tcBorders>
            <w:vAlign w:val="center"/>
          </w:tcPr>
          <w:p>
            <w:pPr>
              <w:numPr>
                <w:ilvl w:val="0"/>
                <w:numId w:val="0"/>
              </w:numPr>
              <w:spacing w:line="360" w:lineRule="auto"/>
              <w:ind w:left="0" w:leftChars="0" w:firstLine="0" w:firstLineChars="0"/>
              <w:jc w:val="center"/>
              <w:rPr>
                <w:rFonts w:hint="eastAsia" w:ascii="宋体" w:hAnsi="宋体" w:eastAsia="宋体" w:cs="宋体"/>
                <w:bCs/>
                <w:color w:val="auto"/>
                <w:szCs w:val="21"/>
                <w:highlight w:val="none"/>
                <w:lang w:val="en-US"/>
              </w:rPr>
            </w:pPr>
            <w:r>
              <w:rPr>
                <w:rFonts w:hint="eastAsia" w:ascii="宋体" w:hAnsi="宋体" w:eastAsia="宋体" w:cs="宋体"/>
                <w:bCs/>
                <w:color w:val="auto"/>
                <w:szCs w:val="21"/>
                <w:highlight w:val="none"/>
                <w:lang w:val="en-US" w:eastAsia="zh-CN"/>
              </w:rPr>
              <w:t>业绩</w:t>
            </w:r>
          </w:p>
        </w:tc>
        <w:tc>
          <w:tcPr>
            <w:tcW w:w="840" w:type="dxa"/>
            <w:tcBorders>
              <w:left w:val="single" w:color="auto" w:sz="4" w:space="0"/>
            </w:tcBorders>
            <w:vAlign w:val="center"/>
          </w:tcPr>
          <w:p>
            <w:pPr>
              <w:numPr>
                <w:ilvl w:val="0"/>
                <w:numId w:val="0"/>
              </w:numPr>
              <w:spacing w:line="360" w:lineRule="auto"/>
              <w:ind w:left="0" w:leftChars="0" w:firstLine="0" w:firstLineChars="0"/>
              <w:jc w:val="center"/>
              <w:rPr>
                <w:rFonts w:hint="eastAsia" w:ascii="宋体" w:hAnsi="宋体" w:eastAsia="宋体" w:cs="宋体"/>
                <w:bCs/>
                <w:color w:val="auto"/>
                <w:szCs w:val="21"/>
                <w:highlight w:val="none"/>
                <w:lang w:val="en-US" w:eastAsia="zh-CN"/>
              </w:rPr>
            </w:pPr>
            <w:r>
              <w:rPr>
                <w:rFonts w:hint="eastAsia"/>
                <w:color w:val="auto"/>
                <w:sz w:val="21"/>
                <w:szCs w:val="21"/>
                <w:highlight w:val="none"/>
                <w:u w:val="none"/>
                <w:shd w:val="clear" w:color="auto" w:fill="auto"/>
                <w:lang w:val="en-US" w:eastAsia="zh-CN"/>
              </w:rPr>
              <w:t>2分</w:t>
            </w:r>
          </w:p>
        </w:tc>
        <w:tc>
          <w:tcPr>
            <w:tcW w:w="5600" w:type="dxa"/>
            <w:vAlign w:val="center"/>
          </w:tcPr>
          <w:p>
            <w:pPr>
              <w:spacing w:line="312" w:lineRule="auto"/>
              <w:ind w:firstLine="220" w:firstLineChars="100"/>
              <w:rPr>
                <w:rFonts w:hint="eastAsia" w:ascii="宋体" w:hAnsi="宋体" w:eastAsia="宋体" w:cs="宋体"/>
                <w:bCs/>
                <w:color w:val="auto"/>
                <w:szCs w:val="21"/>
                <w:highlight w:val="none"/>
                <w:lang w:val="en-US" w:eastAsia="zh-CN"/>
              </w:rPr>
            </w:pPr>
            <w:r>
              <w:rPr>
                <w:rFonts w:hint="eastAsia" w:ascii="宋体" w:hAnsi="宋体" w:eastAsia="宋体" w:cs="宋体"/>
                <w:bCs/>
                <w:color w:val="auto"/>
                <w:szCs w:val="21"/>
                <w:highlight w:val="none"/>
                <w:lang w:val="en-US" w:eastAsia="zh-CN"/>
              </w:rPr>
              <w:t>满足资格审查条件（业绩最低要求）得</w:t>
            </w:r>
            <w:r>
              <w:rPr>
                <w:rFonts w:hint="eastAsia" w:cs="宋体"/>
                <w:bCs/>
                <w:color w:val="auto"/>
                <w:szCs w:val="21"/>
                <w:highlight w:val="none"/>
                <w:lang w:val="en-US" w:eastAsia="zh-CN"/>
              </w:rPr>
              <w:t>1.0</w:t>
            </w:r>
            <w:r>
              <w:rPr>
                <w:rFonts w:hint="eastAsia" w:ascii="宋体" w:hAnsi="宋体" w:eastAsia="宋体" w:cs="宋体"/>
                <w:bCs/>
                <w:color w:val="auto"/>
                <w:szCs w:val="21"/>
                <w:highlight w:val="none"/>
                <w:lang w:val="en-US" w:eastAsia="zh-CN"/>
              </w:rPr>
              <w:t>分；在此基础上，近五年内（2019年1月1日至投标截止日），承接过</w:t>
            </w:r>
            <w:r>
              <w:rPr>
                <w:rFonts w:hint="eastAsia" w:cs="宋体"/>
                <w:bCs/>
                <w:color w:val="auto"/>
                <w:szCs w:val="21"/>
                <w:highlight w:val="none"/>
                <w:lang w:val="en-US" w:eastAsia="zh-CN"/>
              </w:rPr>
              <w:t>公路工程类（以</w:t>
            </w:r>
            <w:r>
              <w:rPr>
                <w:rFonts w:hint="eastAsia" w:ascii="宋体" w:hAnsi="宋体" w:eastAsia="宋体" w:cs="宋体"/>
                <w:bCs/>
                <w:color w:val="auto"/>
                <w:szCs w:val="21"/>
                <w:highlight w:val="none"/>
                <w:lang w:val="en-US" w:eastAsia="zh-CN"/>
              </w:rPr>
              <w:t>公路标准设计施工建设</w:t>
            </w:r>
            <w:r>
              <w:rPr>
                <w:rFonts w:hint="eastAsia" w:cs="宋体"/>
                <w:bCs/>
                <w:color w:val="auto"/>
                <w:szCs w:val="21"/>
                <w:highlight w:val="none"/>
                <w:lang w:val="en-US" w:eastAsia="zh-CN"/>
              </w:rPr>
              <w:t>）</w:t>
            </w:r>
            <w:r>
              <w:rPr>
                <w:rFonts w:hint="eastAsia" w:ascii="宋体" w:hAnsi="宋体" w:eastAsia="宋体" w:cs="宋体"/>
                <w:bCs/>
                <w:color w:val="auto"/>
                <w:szCs w:val="21"/>
                <w:highlight w:val="none"/>
                <w:lang w:val="en-US" w:eastAsia="zh-CN"/>
              </w:rPr>
              <w:t>里程每累计增加</w:t>
            </w:r>
            <w:r>
              <w:rPr>
                <w:rFonts w:hint="eastAsia" w:cs="宋体"/>
                <w:bCs/>
                <w:color w:val="auto"/>
                <w:szCs w:val="21"/>
                <w:highlight w:val="none"/>
                <w:lang w:val="en-US" w:eastAsia="zh-CN"/>
              </w:rPr>
              <w:t>4.0</w:t>
            </w:r>
            <w:r>
              <w:rPr>
                <w:rFonts w:hint="eastAsia" w:ascii="宋体" w:hAnsi="宋体" w:eastAsia="宋体" w:cs="宋体"/>
                <w:bCs/>
                <w:color w:val="auto"/>
                <w:szCs w:val="21"/>
                <w:highlight w:val="none"/>
                <w:lang w:val="en-US" w:eastAsia="zh-CN"/>
              </w:rPr>
              <w:t>km（尾数不计），加0.25分，最高加</w:t>
            </w:r>
            <w:r>
              <w:rPr>
                <w:rFonts w:hint="eastAsia" w:cs="宋体"/>
                <w:bCs/>
                <w:color w:val="auto"/>
                <w:szCs w:val="21"/>
                <w:highlight w:val="none"/>
                <w:lang w:val="en-US" w:eastAsia="zh-CN"/>
              </w:rPr>
              <w:t>1.0</w:t>
            </w:r>
            <w:r>
              <w:rPr>
                <w:rFonts w:hint="eastAsia" w:ascii="宋体" w:hAnsi="宋体" w:eastAsia="宋体" w:cs="宋体"/>
                <w:bCs/>
                <w:color w:val="auto"/>
                <w:szCs w:val="21"/>
                <w:highlight w:val="none"/>
                <w:lang w:val="en-US" w:eastAsia="zh-CN"/>
              </w:rPr>
              <w:t>分</w:t>
            </w:r>
            <w:r>
              <w:rPr>
                <w:rFonts w:hint="eastAsia" w:cs="宋体"/>
                <w:bCs/>
                <w:color w:val="auto"/>
                <w:szCs w:val="21"/>
                <w:highlight w:val="none"/>
                <w:lang w:val="en-US" w:eastAsia="zh-CN"/>
              </w:rPr>
              <w:t>；</w:t>
            </w:r>
            <w:r>
              <w:rPr>
                <w:rFonts w:hint="eastAsia" w:cs="宋体"/>
                <w:color w:val="000000"/>
                <w:spacing w:val="-1"/>
                <w:highlight w:val="none"/>
                <w:lang w:val="en-US" w:eastAsia="zh-CN"/>
              </w:rPr>
              <w:t>时间和规模以“全国公路建设市场信用信息管理系统”上显示的开工日期或施工合同签订的时间及规模为准。</w:t>
            </w:r>
          </w:p>
          <w:p>
            <w:pPr>
              <w:spacing w:line="312" w:lineRule="auto"/>
              <w:ind w:firstLine="220" w:firstLineChars="100"/>
              <w:rPr>
                <w:rFonts w:hint="eastAsia" w:ascii="宋体" w:hAnsi="宋体" w:eastAsia="宋体" w:cs="宋体"/>
                <w:bCs/>
                <w:color w:val="auto"/>
                <w:szCs w:val="21"/>
                <w:highlight w:val="none"/>
                <w:lang w:val="en-US" w:eastAsia="zh-CN"/>
              </w:rPr>
            </w:pPr>
            <w:r>
              <w:rPr>
                <w:rFonts w:hint="eastAsia" w:ascii="宋体" w:hAnsi="宋体" w:eastAsia="宋体" w:cs="宋体"/>
                <w:bCs/>
                <w:color w:val="auto"/>
                <w:szCs w:val="21"/>
                <w:highlight w:val="none"/>
                <w:lang w:val="en-US" w:eastAsia="zh-CN"/>
              </w:rPr>
              <w:t>不符合上述条件的不得分，本项最高得2分。</w:t>
            </w:r>
          </w:p>
          <w:p>
            <w:pPr>
              <w:spacing w:line="312" w:lineRule="auto"/>
              <w:ind w:firstLine="220" w:firstLineChars="100"/>
              <w:rPr>
                <w:rFonts w:hint="default"/>
                <w:color w:val="auto"/>
                <w:lang w:val="en-US" w:eastAsia="zh-CN"/>
              </w:rPr>
            </w:pPr>
            <w:r>
              <w:rPr>
                <w:rFonts w:hint="eastAsia" w:ascii="宋体" w:hAnsi="宋体" w:eastAsia="宋体" w:cs="宋体"/>
                <w:bCs/>
                <w:color w:val="auto"/>
                <w:szCs w:val="21"/>
                <w:highlight w:val="none"/>
                <w:lang w:val="en-US" w:eastAsia="zh-CN"/>
              </w:rPr>
              <w:t>注：需提供“全国公路建设市场信用信息管理系统”网页截图或提供中标通知书及施工合同关键页并能清楚体现按公路标准设计施工</w:t>
            </w:r>
            <w:r>
              <w:rPr>
                <w:rFonts w:hint="eastAsia" w:cs="宋体"/>
                <w:bCs/>
                <w:color w:val="auto"/>
                <w:szCs w:val="21"/>
                <w:highlight w:val="none"/>
                <w:lang w:val="en-US" w:eastAsia="zh-CN"/>
              </w:rPr>
              <w:t>及</w:t>
            </w:r>
            <w:r>
              <w:rPr>
                <w:rFonts w:hint="eastAsia" w:ascii="宋体" w:hAnsi="宋体" w:eastAsia="宋体" w:cs="宋体"/>
                <w:bCs/>
                <w:color w:val="auto"/>
                <w:szCs w:val="21"/>
                <w:highlight w:val="none"/>
                <w:lang w:val="en-US" w:eastAsia="zh-CN"/>
              </w:rPr>
              <w:t>里程</w:t>
            </w:r>
            <w:r>
              <w:rPr>
                <w:rFonts w:hint="eastAsia" w:cs="宋体"/>
                <w:bCs/>
                <w:color w:val="auto"/>
                <w:szCs w:val="21"/>
                <w:highlight w:val="none"/>
                <w:lang w:val="en-US" w:eastAsia="zh-CN"/>
              </w:rPr>
              <w:t>数据的</w:t>
            </w:r>
            <w:r>
              <w:rPr>
                <w:rFonts w:hint="eastAsia" w:ascii="宋体" w:hAnsi="宋体" w:eastAsia="宋体" w:cs="宋体"/>
                <w:bCs/>
                <w:color w:val="auto"/>
                <w:szCs w:val="21"/>
                <w:highlight w:val="none"/>
                <w:lang w:val="en-US" w:eastAsia="zh-CN"/>
              </w:rPr>
              <w:t>复印件加盖公章</w:t>
            </w:r>
            <w:r>
              <w:rPr>
                <w:rFonts w:hint="eastAsia" w:cs="宋体"/>
                <w:bCs/>
                <w:color w:val="auto"/>
                <w:szCs w:val="21"/>
                <w:highlight w:val="none"/>
                <w:lang w:val="en-US" w:eastAsia="zh-CN"/>
              </w:rPr>
              <w:t>；</w:t>
            </w:r>
            <w:r>
              <w:rPr>
                <w:rFonts w:hint="eastAsia" w:cs="宋体"/>
                <w:color w:val="000000"/>
                <w:spacing w:val="-1"/>
                <w:highlight w:val="none"/>
                <w:lang w:val="en-US" w:eastAsia="zh-CN"/>
              </w:rPr>
              <w:t>如提供“全国公路建设市场信用信息管理系统”网上查询截图的应包括显示有“工程名称”、“技术等级”、“合同价”、“开工日期”、“主要工程量”等栏目在内的项目详细信息网页截图复印件或网页打印件，</w:t>
            </w:r>
            <w:r>
              <w:rPr>
                <w:rFonts w:hint="eastAsia" w:ascii="宋体" w:hAnsi="宋体" w:eastAsia="宋体" w:cs="宋体"/>
                <w:bCs/>
                <w:color w:val="auto"/>
                <w:szCs w:val="21"/>
                <w:highlight w:val="none"/>
                <w:lang w:val="en-US"/>
              </w:rPr>
              <w:t>否则不得分。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211" w:hRule="atLeast"/>
        </w:trPr>
        <w:tc>
          <w:tcPr>
            <w:tcW w:w="1042" w:type="dxa"/>
            <w:vMerge w:val="continue"/>
            <w:tcBorders>
              <w:right w:val="single" w:color="auto" w:sz="4" w:space="0"/>
            </w:tcBorders>
            <w:vAlign w:val="center"/>
          </w:tcPr>
          <w:p>
            <w:pPr>
              <w:spacing w:line="360" w:lineRule="auto"/>
              <w:ind w:right="113" w:firstLine="420" w:firstLineChars="200"/>
              <w:rPr>
                <w:color w:val="auto"/>
                <w:sz w:val="21"/>
                <w:szCs w:val="21"/>
                <w:highlight w:val="none"/>
                <w:shd w:val="clear" w:color="auto" w:fill="auto"/>
              </w:rPr>
            </w:pPr>
          </w:p>
        </w:tc>
        <w:tc>
          <w:tcPr>
            <w:tcW w:w="1202" w:type="dxa"/>
            <w:gridSpan w:val="2"/>
            <w:vMerge w:val="continue"/>
            <w:tcBorders>
              <w:left w:val="single" w:color="auto" w:sz="4" w:space="0"/>
            </w:tcBorders>
            <w:vAlign w:val="bottom"/>
          </w:tcPr>
          <w:p>
            <w:pPr>
              <w:pStyle w:val="40"/>
              <w:shd w:val="clear" w:color="auto" w:fill="auto"/>
              <w:spacing w:before="0" w:line="360" w:lineRule="auto"/>
              <w:jc w:val="left"/>
              <w:rPr>
                <w:rFonts w:ascii="宋体" w:hAnsi="宋体" w:cs="宋体"/>
                <w:color w:val="auto"/>
                <w:sz w:val="21"/>
                <w:szCs w:val="21"/>
                <w:highlight w:val="none"/>
                <w:shd w:val="clear" w:color="auto" w:fill="auto"/>
              </w:rPr>
            </w:pPr>
          </w:p>
        </w:tc>
        <w:tc>
          <w:tcPr>
            <w:tcW w:w="946" w:type="dxa"/>
            <w:tcBorders>
              <w:right w:val="single" w:color="auto" w:sz="4" w:space="0"/>
            </w:tcBorders>
            <w:vAlign w:val="center"/>
          </w:tcPr>
          <w:p>
            <w:pPr>
              <w:spacing w:line="360" w:lineRule="auto"/>
              <w:jc w:val="center"/>
              <w:rPr>
                <w:rFonts w:ascii="宋体" w:hAnsi="宋体" w:cs="宋体"/>
                <w:color w:val="auto"/>
                <w:sz w:val="21"/>
                <w:szCs w:val="21"/>
                <w:highlight w:val="none"/>
                <w:shd w:val="clear" w:color="auto" w:fill="auto"/>
              </w:rPr>
            </w:pPr>
            <w:r>
              <w:rPr>
                <w:color w:val="auto"/>
                <w:sz w:val="21"/>
                <w:szCs w:val="21"/>
              </w:rPr>
              <w:t>履约信誉</w:t>
            </w:r>
          </w:p>
        </w:tc>
        <w:tc>
          <w:tcPr>
            <w:tcW w:w="840" w:type="dxa"/>
            <w:tcBorders>
              <w:left w:val="single" w:color="auto" w:sz="4" w:space="0"/>
            </w:tcBorders>
            <w:vAlign w:val="center"/>
          </w:tcPr>
          <w:p>
            <w:pPr>
              <w:spacing w:line="360" w:lineRule="auto"/>
              <w:jc w:val="center"/>
              <w:rPr>
                <w:rFonts w:ascii="宋体" w:hAnsi="宋体" w:cs="宋体"/>
                <w:color w:val="auto"/>
                <w:sz w:val="21"/>
                <w:szCs w:val="21"/>
                <w:highlight w:val="none"/>
                <w:shd w:val="clear" w:color="auto" w:fill="auto"/>
              </w:rPr>
            </w:pPr>
            <w:r>
              <w:rPr>
                <w:rFonts w:hint="eastAsia"/>
                <w:color w:val="auto"/>
                <w:sz w:val="21"/>
                <w:szCs w:val="21"/>
                <w:lang w:val="en-US" w:eastAsia="zh-CN"/>
              </w:rPr>
              <w:t>10</w:t>
            </w:r>
            <w:r>
              <w:rPr>
                <w:rFonts w:hint="eastAsia"/>
                <w:color w:val="auto"/>
                <w:sz w:val="21"/>
                <w:szCs w:val="21"/>
                <w:lang w:val="en-US"/>
              </w:rPr>
              <w:t>分</w:t>
            </w:r>
          </w:p>
        </w:tc>
        <w:tc>
          <w:tcPr>
            <w:tcW w:w="5600" w:type="dxa"/>
            <w:vAlign w:val="top"/>
          </w:tcPr>
          <w:p>
            <w:pPr>
              <w:spacing w:before="61" w:line="219" w:lineRule="auto"/>
              <w:ind w:firstLine="224" w:firstLineChars="100"/>
              <w:rPr>
                <w:rFonts w:hint="eastAsia" w:ascii="宋体" w:hAnsi="宋体" w:eastAsia="宋体" w:cs="宋体"/>
                <w:color w:val="000000"/>
                <w:highlight w:val="none"/>
              </w:rPr>
            </w:pPr>
            <w:r>
              <w:rPr>
                <w:rFonts w:hint="eastAsia" w:ascii="宋体" w:hAnsi="宋体" w:eastAsia="宋体" w:cs="宋体"/>
                <w:color w:val="000000"/>
                <w:spacing w:val="2"/>
                <w:highlight w:val="none"/>
              </w:rPr>
              <w:t>1.信用等级分值</w:t>
            </w:r>
            <w:r>
              <w:rPr>
                <w:rFonts w:hint="eastAsia" w:ascii="宋体" w:hAnsi="宋体" w:eastAsia="宋体" w:cs="宋体"/>
                <w:color w:val="000000"/>
                <w:spacing w:val="1"/>
                <w:highlight w:val="none"/>
              </w:rPr>
              <w:t>(</w:t>
            </w:r>
            <w:r>
              <w:rPr>
                <w:rFonts w:hint="eastAsia" w:cs="宋体"/>
                <w:color w:val="000000"/>
                <w:spacing w:val="1"/>
                <w:highlight w:val="none"/>
                <w:lang w:val="en-US" w:eastAsia="zh-CN"/>
              </w:rPr>
              <w:t>5</w:t>
            </w:r>
            <w:r>
              <w:rPr>
                <w:rFonts w:hint="eastAsia" w:ascii="宋体" w:hAnsi="宋体" w:eastAsia="宋体" w:cs="宋体"/>
                <w:color w:val="000000"/>
                <w:spacing w:val="1"/>
                <w:highlight w:val="none"/>
              </w:rPr>
              <w:t>分)</w:t>
            </w:r>
          </w:p>
          <w:p>
            <w:pPr>
              <w:spacing w:before="50" w:line="264" w:lineRule="auto"/>
              <w:ind w:right="32" w:firstLine="436" w:firstLineChars="200"/>
              <w:rPr>
                <w:rFonts w:hint="eastAsia" w:ascii="宋体" w:hAnsi="宋体" w:eastAsia="宋体" w:cs="宋体"/>
                <w:color w:val="000000"/>
                <w:spacing w:val="-1"/>
                <w:highlight w:val="none"/>
              </w:rPr>
            </w:pPr>
            <w:r>
              <w:rPr>
                <w:rFonts w:hint="eastAsia" w:cs="宋体"/>
                <w:color w:val="000000"/>
                <w:spacing w:val="-1"/>
                <w:highlight w:val="none"/>
                <w:lang w:val="en-US" w:eastAsia="zh-CN"/>
              </w:rPr>
              <w:t>（1）</w:t>
            </w:r>
            <w:r>
              <w:rPr>
                <w:rFonts w:hint="eastAsia" w:ascii="宋体" w:hAnsi="宋体" w:eastAsia="宋体" w:cs="宋体"/>
                <w:color w:val="000000"/>
                <w:spacing w:val="-1"/>
                <w:highlight w:val="none"/>
                <w:lang w:val="en-US" w:eastAsia="zh-CN"/>
              </w:rPr>
              <w:t xml:space="preserve">AA、A、B、C 级单位的信用等级分得分分别为 </w:t>
            </w:r>
            <w:r>
              <w:rPr>
                <w:rFonts w:hint="eastAsia" w:cs="宋体"/>
                <w:color w:val="000000"/>
                <w:spacing w:val="-1"/>
                <w:highlight w:val="none"/>
                <w:lang w:val="en-US" w:eastAsia="zh-CN"/>
              </w:rPr>
              <w:t>5.00分</w:t>
            </w:r>
            <w:r>
              <w:rPr>
                <w:rFonts w:hint="eastAsia" w:ascii="宋体" w:hAnsi="宋体" w:eastAsia="宋体" w:cs="宋体"/>
                <w:color w:val="000000"/>
                <w:spacing w:val="-1"/>
                <w:highlight w:val="none"/>
                <w:lang w:val="en-US" w:eastAsia="zh-CN"/>
              </w:rPr>
              <w:t>、</w:t>
            </w:r>
            <w:r>
              <w:rPr>
                <w:rFonts w:hint="eastAsia" w:cs="宋体"/>
                <w:color w:val="000000"/>
                <w:spacing w:val="-1"/>
                <w:highlight w:val="none"/>
                <w:lang w:val="en-US" w:eastAsia="zh-CN"/>
              </w:rPr>
              <w:t>4.75分</w:t>
            </w:r>
            <w:r>
              <w:rPr>
                <w:rFonts w:hint="eastAsia" w:ascii="宋体" w:hAnsi="宋体" w:eastAsia="宋体" w:cs="宋体"/>
                <w:color w:val="000000"/>
                <w:spacing w:val="-1"/>
                <w:highlight w:val="none"/>
                <w:lang w:val="en-US" w:eastAsia="zh-CN"/>
              </w:rPr>
              <w:t>、</w:t>
            </w:r>
            <w:r>
              <w:rPr>
                <w:rFonts w:hint="eastAsia" w:cs="宋体"/>
                <w:color w:val="000000"/>
                <w:spacing w:val="-1"/>
                <w:highlight w:val="none"/>
                <w:lang w:val="en-US" w:eastAsia="zh-CN"/>
              </w:rPr>
              <w:t>4.45分</w:t>
            </w:r>
            <w:r>
              <w:rPr>
                <w:rFonts w:hint="eastAsia" w:ascii="宋体" w:hAnsi="宋体" w:eastAsia="宋体" w:cs="宋体"/>
                <w:color w:val="000000"/>
                <w:spacing w:val="-1"/>
                <w:highlight w:val="none"/>
                <w:lang w:val="en-US" w:eastAsia="zh-CN"/>
              </w:rPr>
              <w:t>、</w:t>
            </w:r>
            <w:r>
              <w:rPr>
                <w:rFonts w:hint="eastAsia" w:cs="宋体"/>
                <w:color w:val="000000"/>
                <w:spacing w:val="-1"/>
                <w:highlight w:val="none"/>
                <w:lang w:val="en-US" w:eastAsia="zh-CN"/>
              </w:rPr>
              <w:t>3.65</w:t>
            </w:r>
            <w:r>
              <w:rPr>
                <w:rFonts w:hint="eastAsia" w:ascii="宋体" w:hAnsi="宋体" w:eastAsia="宋体" w:cs="宋体"/>
                <w:color w:val="000000"/>
                <w:spacing w:val="-1"/>
                <w:highlight w:val="none"/>
                <w:lang w:val="en-US" w:eastAsia="zh-CN"/>
              </w:rPr>
              <w:t>分。</w:t>
            </w:r>
          </w:p>
          <w:p>
            <w:pPr>
              <w:spacing w:before="50" w:line="264" w:lineRule="auto"/>
              <w:ind w:left="111" w:right="32" w:firstLine="519"/>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注：信用等级的确定原则遵循投标人须知前附表</w:t>
            </w:r>
            <w:r>
              <w:rPr>
                <w:rFonts w:hint="eastAsia" w:ascii="宋体" w:hAnsi="宋体" w:eastAsia="宋体" w:cs="宋体"/>
                <w:color w:val="000000"/>
                <w:spacing w:val="-1"/>
                <w:highlight w:val="none"/>
                <w:lang w:val="en-US" w:eastAsia="en-US"/>
              </w:rPr>
              <w:t xml:space="preserve">10. </w:t>
            </w:r>
            <w:r>
              <w:rPr>
                <w:rFonts w:hint="eastAsia" w:ascii="宋体" w:hAnsi="宋体" w:eastAsia="宋体" w:cs="宋体"/>
                <w:color w:val="000000"/>
                <w:spacing w:val="-1"/>
                <w:highlight w:val="none"/>
              </w:rPr>
              <w:t>2款的规定。</w:t>
            </w:r>
          </w:p>
          <w:p>
            <w:pPr>
              <w:spacing w:before="61" w:line="219" w:lineRule="auto"/>
              <w:ind w:firstLine="224" w:firstLineChars="100"/>
              <w:rPr>
                <w:rFonts w:hint="eastAsia" w:ascii="宋体" w:hAnsi="宋体" w:eastAsia="宋体" w:cs="宋体"/>
                <w:color w:val="000000"/>
                <w:spacing w:val="2"/>
                <w:highlight w:val="none"/>
              </w:rPr>
            </w:pPr>
            <w:r>
              <w:rPr>
                <w:rFonts w:hint="eastAsia" w:ascii="宋体" w:hAnsi="宋体" w:eastAsia="宋体" w:cs="宋体"/>
                <w:color w:val="000000"/>
                <w:spacing w:val="2"/>
                <w:highlight w:val="none"/>
                <w:lang w:val="en-US" w:eastAsia="zh-CN"/>
              </w:rPr>
              <w:t>2.</w:t>
            </w:r>
            <w:r>
              <w:rPr>
                <w:rFonts w:hint="eastAsia" w:ascii="宋体" w:hAnsi="宋体" w:eastAsia="宋体" w:cs="宋体"/>
                <w:color w:val="000000"/>
                <w:spacing w:val="2"/>
                <w:highlight w:val="none"/>
              </w:rPr>
              <w:t>履约情况（5分）</w:t>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若没出现下述情形得满分；</w:t>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投标文件递交截止日前1年内，投标人因公路工程（含附属设施）质量、安全、履约或招标投标问题等原因被：</w:t>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（1）交通运输部行政处罚的，扣5分/次。</w:t>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（2）广东省交通运输厅行政处罚的，扣3分/次。</w:t>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（3）</w:t>
            </w:r>
            <w:r>
              <w:rPr>
                <w:rFonts w:hint="eastAsia" w:ascii="宋体" w:hAnsi="宋体" w:eastAsia="宋体" w:cs="宋体"/>
                <w:color w:val="000000"/>
                <w:spacing w:val="-1"/>
                <w:highlight w:val="none"/>
                <w:u w:val="single"/>
              </w:rPr>
              <w:t>项目所在地地级以上市交通运输局行政处罚的，扣</w:t>
            </w:r>
            <w:r>
              <w:rPr>
                <w:rFonts w:hint="eastAsia" w:ascii="宋体" w:hAnsi="宋体" w:eastAsia="宋体" w:cs="宋体"/>
                <w:color w:val="000000"/>
                <w:spacing w:val="-1"/>
                <w:highlight w:val="none"/>
                <w:u w:val="single"/>
                <w:lang w:val="en-US" w:eastAsia="en-US"/>
              </w:rPr>
              <w:t xml:space="preserve">1.5 </w:t>
            </w:r>
            <w:r>
              <w:rPr>
                <w:rFonts w:hint="eastAsia" w:ascii="宋体" w:hAnsi="宋体" w:eastAsia="宋体" w:cs="宋体"/>
                <w:color w:val="000000"/>
                <w:spacing w:val="-1"/>
                <w:highlight w:val="none"/>
                <w:u w:val="single"/>
              </w:rPr>
              <w:t>分/次。</w:t>
            </w:r>
            <w:r>
              <w:rPr>
                <w:rFonts w:hint="eastAsia" w:ascii="宋体" w:hAnsi="宋体" w:eastAsia="宋体" w:cs="宋体"/>
                <w:color w:val="000000"/>
                <w:spacing w:val="-1"/>
                <w:sz w:val="22"/>
                <w:szCs w:val="22"/>
                <w:highlight w:val="none"/>
                <w:u w:val="single"/>
                <w:vertAlign w:val="subscript"/>
              </w:rPr>
              <w:fldChar w:fldCharType="begin"/>
            </w:r>
            <w:r>
              <w:rPr>
                <w:rFonts w:hint="eastAsia" w:ascii="宋体" w:hAnsi="宋体" w:eastAsia="宋体" w:cs="宋体"/>
                <w:color w:val="000000"/>
                <w:spacing w:val="-1"/>
                <w:sz w:val="22"/>
                <w:szCs w:val="22"/>
                <w:highlight w:val="none"/>
                <w:u w:val="single"/>
                <w:vertAlign w:val="subscript"/>
              </w:rPr>
              <w:instrText xml:space="preserve"> HYPERLINK \l "bookmark626" \o "Current Document" \h </w:instrText>
            </w:r>
            <w:r>
              <w:rPr>
                <w:rFonts w:hint="eastAsia" w:ascii="宋体" w:hAnsi="宋体" w:eastAsia="宋体" w:cs="宋体"/>
                <w:color w:val="000000"/>
                <w:spacing w:val="-1"/>
                <w:sz w:val="22"/>
                <w:szCs w:val="22"/>
                <w:highlight w:val="none"/>
                <w:u w:val="single"/>
                <w:vertAlign w:val="subscript"/>
              </w:rPr>
              <w:fldChar w:fldCharType="separate"/>
            </w:r>
            <w:r>
              <w:rPr>
                <w:rFonts w:hint="eastAsia" w:ascii="宋体" w:hAnsi="宋体" w:eastAsia="宋体" w:cs="宋体"/>
                <w:color w:val="000000"/>
                <w:spacing w:val="-1"/>
                <w:sz w:val="22"/>
                <w:szCs w:val="22"/>
                <w:highlight w:val="none"/>
                <w:u w:val="single"/>
                <w:vertAlign w:val="subscript"/>
              </w:rPr>
              <w:t>①</w:t>
            </w:r>
            <w:r>
              <w:rPr>
                <w:rFonts w:hint="eastAsia" w:ascii="宋体" w:hAnsi="宋体" w:eastAsia="宋体" w:cs="宋体"/>
                <w:color w:val="000000"/>
                <w:spacing w:val="-1"/>
                <w:sz w:val="22"/>
                <w:szCs w:val="22"/>
                <w:highlight w:val="none"/>
                <w:u w:val="single"/>
                <w:vertAlign w:val="subscript"/>
              </w:rPr>
              <w:fldChar w:fldCharType="end"/>
            </w:r>
          </w:p>
          <w:p>
            <w:pPr>
              <w:spacing w:before="50" w:line="264" w:lineRule="auto"/>
              <w:ind w:right="32" w:firstLine="436" w:firstLineChars="200"/>
              <w:rPr>
                <w:rFonts w:hint="eastAsia" w:ascii="宋体" w:hAnsi="宋体" w:eastAsia="宋体" w:cs="宋体"/>
                <w:color w:val="000000"/>
                <w:spacing w:val="-1"/>
                <w:highlight w:val="none"/>
              </w:rPr>
            </w:pPr>
            <w:r>
              <w:rPr>
                <w:rFonts w:hint="eastAsia" w:ascii="宋体" w:hAnsi="宋体" w:eastAsia="宋体" w:cs="宋体"/>
                <w:color w:val="000000"/>
                <w:spacing w:val="-1"/>
                <w:highlight w:val="none"/>
              </w:rPr>
              <w:t>（4）广东省交通运输厅正式约谈的，扣</w:t>
            </w:r>
            <w:r>
              <w:rPr>
                <w:rFonts w:hint="eastAsia" w:ascii="宋体" w:hAnsi="宋体" w:eastAsia="宋体" w:cs="宋体"/>
                <w:color w:val="000000"/>
                <w:spacing w:val="-1"/>
                <w:highlight w:val="none"/>
                <w:lang w:val="en-US" w:eastAsia="en-US"/>
              </w:rPr>
              <w:t>0.</w:t>
            </w:r>
            <w:r>
              <w:rPr>
                <w:rFonts w:hint="eastAsia" w:ascii="宋体" w:hAnsi="宋体" w:eastAsia="宋体" w:cs="宋体"/>
                <w:color w:val="000000"/>
                <w:spacing w:val="-1"/>
                <w:highlight w:val="none"/>
              </w:rPr>
              <w:t>1分/次。</w:t>
            </w:r>
          </w:p>
          <w:p>
            <w:pPr>
              <w:pStyle w:val="17"/>
              <w:spacing w:line="360" w:lineRule="auto"/>
              <w:rPr>
                <w:rFonts w:hint="eastAsia"/>
                <w:color w:val="auto"/>
                <w:lang w:eastAsia="zh-CN"/>
              </w:rPr>
            </w:pPr>
            <w:r>
              <w:rPr>
                <w:rFonts w:hint="eastAsia" w:ascii="宋体" w:hAnsi="宋体" w:eastAsia="宋体" w:cs="宋体"/>
                <w:color w:val="000000"/>
                <w:spacing w:val="-1"/>
                <w:highlight w:val="none"/>
              </w:rPr>
              <w:t>同一事项同时被多个部门行政处罚或正式约谈只按最高的扣分计算1次。如果扣完本项分值，可以从总分中扣。以联合体形式投标的，若各联合体成员任何一方或均存在上述情 形的，对联合体各成员进行累计扣分。</w:t>
            </w:r>
          </w:p>
        </w:tc>
      </w:tr>
    </w:tbl>
    <w:p>
      <w:pPr>
        <w:pStyle w:val="2"/>
        <w:rPr>
          <w:color w:val="auto"/>
        </w:rPr>
        <w:sectPr>
          <w:footnotePr>
            <w:numFmt w:val="decimalEnclosedCircleChinese"/>
            <w:numRestart w:val="eachPage"/>
          </w:footnotePr>
          <w:pgSz w:w="11911" w:h="16838"/>
          <w:pgMar w:top="1247" w:right="1134" w:bottom="1247" w:left="1134" w:header="737" w:footer="850" w:gutter="0"/>
          <w:pgNumType w:fmt="numberInDash"/>
          <w:cols w:space="0" w:num="1"/>
          <w:rtlGutter w:val="0"/>
          <w:docGrid w:linePitch="0" w:charSpace="0"/>
        </w:sectPr>
      </w:pPr>
    </w:p>
    <w:tbl>
      <w:tblPr>
        <w:tblStyle w:val="25"/>
        <w:tblpPr w:leftFromText="180" w:rightFromText="180" w:vertAnchor="text" w:horzAnchor="page" w:tblpX="1157" w:tblpY="116"/>
        <w:tblOverlap w:val="never"/>
        <w:tblW w:w="9630" w:type="dxa"/>
        <w:tblInd w:w="0"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top w:w="0" w:type="dxa"/>
          <w:left w:w="0" w:type="dxa"/>
          <w:bottom w:w="0" w:type="dxa"/>
          <w:right w:w="0" w:type="dxa"/>
        </w:tblCellMar>
      </w:tblPr>
      <w:tblGrid>
        <w:gridCol w:w="1405"/>
        <w:gridCol w:w="8225"/>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55" w:hRule="atLeast"/>
        </w:trPr>
        <w:tc>
          <w:tcPr>
            <w:tcW w:w="9630" w:type="dxa"/>
            <w:gridSpan w:val="2"/>
            <w:vAlign w:val="center"/>
          </w:tcPr>
          <w:p>
            <w:pPr>
              <w:spacing w:line="360" w:lineRule="auto"/>
              <w:ind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需要补充的其他内容：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97" w:hRule="atLeast"/>
        </w:trPr>
        <w:tc>
          <w:tcPr>
            <w:tcW w:w="1405" w:type="dxa"/>
            <w:tcBorders>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w:t>
            </w:r>
          </w:p>
        </w:tc>
        <w:tc>
          <w:tcPr>
            <w:tcW w:w="8225" w:type="dxa"/>
            <w:tcBorders>
              <w:left w:val="single" w:color="auto" w:sz="4" w:space="0"/>
            </w:tcBorders>
            <w:vAlign w:val="center"/>
          </w:tcPr>
          <w:p>
            <w:pPr>
              <w:spacing w:line="360" w:lineRule="auto"/>
              <w:ind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将评标办法原文第1条“评标方法”改为“评标方法、组织及工作程序”，原文内容修改如下：</w:t>
            </w:r>
          </w:p>
          <w:p>
            <w:pPr>
              <w:spacing w:line="360" w:lineRule="auto"/>
              <w:ind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1.评标方法、组织及工作程序</w:t>
            </w:r>
          </w:p>
          <w:p>
            <w:pPr>
              <w:spacing w:line="360" w:lineRule="auto"/>
              <w:ind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1.1评标方法</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本次评标</w:t>
            </w:r>
            <w:r>
              <w:rPr>
                <w:rFonts w:hint="eastAsia" w:ascii="宋体" w:hAnsi="宋体" w:cs="宋体"/>
                <w:color w:val="auto"/>
                <w:szCs w:val="21"/>
                <w:highlight w:val="none"/>
                <w:shd w:val="clear" w:color="auto" w:fill="auto"/>
                <w:lang w:val="en-US" w:eastAsia="zh-CN"/>
              </w:rPr>
              <w:t>本次评标采用双信封的综合评分法。评标委员会对满足招标文件实质性要求的投标文件，按照本章第2.2款规定的评分标准进行打分，并按得分由高到低顺序推荐中标候选人，但投标报价低于其成本的除外。综合评分相等时，评标委员会应按照评标办法前附表规定的优先次序推荐中标候选人或确定中标人。</w:t>
            </w:r>
          </w:p>
          <w:p>
            <w:pPr>
              <w:spacing w:line="360" w:lineRule="auto"/>
              <w:ind w:right="113" w:firstLine="440" w:firstLineChars="200"/>
              <w:rPr>
                <w:rFonts w:hint="eastAsia" w:ascii="宋体" w:hAnsi="宋体" w:eastAsia="宋体" w:cs="宋体"/>
                <w:color w:val="auto"/>
                <w:szCs w:val="21"/>
                <w:highlight w:val="none"/>
                <w:shd w:val="clear" w:color="auto" w:fill="auto"/>
                <w:lang w:eastAsia="zh-CN"/>
              </w:rPr>
            </w:pPr>
            <w:r>
              <w:rPr>
                <w:rFonts w:hint="eastAsia" w:ascii="宋体" w:hAnsi="宋体" w:cs="宋体"/>
                <w:color w:val="auto"/>
                <w:szCs w:val="21"/>
                <w:highlight w:val="none"/>
                <w:shd w:val="clear" w:color="auto" w:fill="auto"/>
              </w:rPr>
              <w:t>1.2评标组织</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1.2.1协助工作组</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招标人可在评标工作开始前成立协助工作组，选派熟悉招标工作、政治素质高的人员组成，协助评标委员会工作。协助工作组人员的具体数量由招标人视评标工作量确定。</w:t>
            </w:r>
          </w:p>
          <w:p>
            <w:pPr>
              <w:spacing w:line="360" w:lineRule="auto"/>
              <w:ind w:left="440" w:leftChars="200" w:right="113"/>
              <w:rPr>
                <w:rFonts w:hint="eastAsia" w:ascii="宋体" w:hAnsi="宋体" w:eastAsia="宋体" w:cs="宋体"/>
                <w:color w:val="auto"/>
                <w:szCs w:val="21"/>
                <w:highlight w:val="none"/>
                <w:shd w:val="clear" w:color="auto" w:fill="auto"/>
                <w:lang w:eastAsia="zh-CN"/>
              </w:rPr>
            </w:pPr>
            <w:r>
              <w:rPr>
                <w:rFonts w:hint="eastAsia" w:ascii="宋体" w:hAnsi="宋体" w:cs="宋体"/>
                <w:color w:val="auto"/>
                <w:szCs w:val="21"/>
                <w:highlight w:val="none"/>
                <w:shd w:val="clear" w:color="auto" w:fill="auto"/>
              </w:rPr>
              <w:t>招标人可以协助评标委员会开展下列工作并提供相关信息：</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（1）根据招标文件，编制评标使用的相应表格；</w:t>
            </w:r>
          </w:p>
          <w:p>
            <w:pPr>
              <w:numPr>
                <w:ilvl w:val="0"/>
                <w:numId w:val="4"/>
              </w:numPr>
              <w:spacing w:line="360" w:lineRule="auto"/>
              <w:ind w:left="436" w:leftChars="198"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对投标报价进行算术性校核（如采用固化工程量清单，本步骤省略）；</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（3）以评标标准和方法为依据，列出投标文件相对于招标文件的所有偏差，并进行归类汇总；</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（4）查询公路建设市场信用信息管理系统，对投标人的资质、业绩、主要人员资历和目前在岗情况、信用等级进行核实。</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招标人不得对投标文件作出任何评价，不得故意遗漏或者片面摘录，不得在评标委员会对所有偏差定性之前透露存有偏差的投标人名称。</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1.2.2评标委员会</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评标委员会由招标人按国家、广东省等的有关规定依法组建。评标委员会的主要工作内容包括：</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（1）评标委员会开始评标工作之前，首先听取招标人、协助工作组关于工程情况和辅助工作的说明，并认真研读招标文件，获取评标所需的重要信息和数据；</w:t>
            </w:r>
          </w:p>
          <w:p>
            <w:pPr>
              <w:spacing w:line="360" w:lineRule="auto"/>
              <w:ind w:left="660" w:leftChars="200" w:right="113" w:hanging="220" w:hanging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（2）对协助工作组提供的评标工作用表和评标内容进行核查；</w:t>
            </w:r>
          </w:p>
          <w:p>
            <w:pPr>
              <w:spacing w:line="360" w:lineRule="auto"/>
              <w:ind w:left="660" w:leftChars="200" w:right="113" w:hanging="220" w:hangingChars="1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（3）按照以下1.3款程序进行各项评审工作。</w:t>
            </w:r>
          </w:p>
          <w:p>
            <w:pPr>
              <w:spacing w:line="360" w:lineRule="auto"/>
              <w:ind w:right="113" w:firstLine="440" w:firstLineChars="200"/>
              <w:rPr>
                <w:rFonts w:hint="eastAsia" w:ascii="宋体" w:hAnsi="宋体" w:eastAsia="宋体" w:cs="宋体"/>
                <w:color w:val="auto"/>
                <w:szCs w:val="21"/>
                <w:highlight w:val="none"/>
                <w:shd w:val="clear" w:color="auto" w:fill="auto"/>
                <w:lang w:eastAsia="zh-CN"/>
              </w:rPr>
            </w:pPr>
            <w:r>
              <w:rPr>
                <w:rFonts w:hint="eastAsia" w:ascii="宋体" w:hAnsi="宋体" w:cs="宋体"/>
                <w:color w:val="auto"/>
                <w:szCs w:val="21"/>
                <w:highlight w:val="none"/>
                <w:shd w:val="clear" w:color="auto" w:fill="auto"/>
              </w:rPr>
              <w:t>1.3评审工作程序</w:t>
            </w:r>
          </w:p>
          <w:p>
            <w:pPr>
              <w:numPr>
                <w:ilvl w:val="0"/>
                <w:numId w:val="5"/>
              </w:numPr>
              <w:spacing w:line="360" w:lineRule="auto"/>
              <w:ind w:left="440" w:leftChars="200"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第一信封（商务及技术文件）：</w:t>
            </w:r>
          </w:p>
          <w:p>
            <w:pPr>
              <w:spacing w:line="360" w:lineRule="auto"/>
              <w:ind w:right="113" w:firstLine="440" w:firstLineChars="200"/>
              <w:rPr>
                <w:rFonts w:hint="eastAsia"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l、初步评审：包括形式评审与响应性评审、资格评审；</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lang w:val="en-US" w:eastAsia="zh-CN"/>
              </w:rPr>
              <w:t>2、详细评审(评审打分)：评标委员会首先对通过初步评审的投标文件第一个信封(商务及技术文件)进行详细评审，对投标人的施工组织设计、主要人员、其他因素等分别评审打分。</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（二）第二信封（报价文件）：</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1、初步评审：</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（1）只有投标文件第一个信封通过详细评审的投标人才能继续参加第二信封报价文件的形式评审与响应性评审；</w:t>
            </w:r>
          </w:p>
          <w:p>
            <w:pPr>
              <w:spacing w:line="360" w:lineRule="auto"/>
              <w:ind w:left="440" w:leftChars="200" w:right="113"/>
              <w:rPr>
                <w:rFonts w:hint="eastAsia" w:ascii="宋体" w:hAnsi="宋体" w:eastAsia="宋体" w:cs="宋体"/>
                <w:color w:val="auto"/>
                <w:szCs w:val="21"/>
                <w:highlight w:val="none"/>
                <w:shd w:val="clear" w:color="auto" w:fill="auto"/>
                <w:lang w:eastAsia="zh-CN"/>
              </w:rPr>
            </w:pPr>
            <w:r>
              <w:rPr>
                <w:rFonts w:hint="eastAsia" w:ascii="宋体" w:hAnsi="宋体" w:cs="宋体"/>
                <w:color w:val="auto"/>
                <w:szCs w:val="21"/>
                <w:highlight w:val="none"/>
                <w:shd w:val="clear" w:color="auto" w:fill="auto"/>
              </w:rPr>
              <w:t>（2）报价算术性修正（如采用固化工程量清单，本步骤省略）；</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2、详细评审：</w:t>
            </w:r>
            <w:r>
              <w:rPr>
                <w:rFonts w:hint="eastAsia" w:ascii="宋体" w:hAnsi="宋体" w:cs="宋体"/>
                <w:color w:val="auto"/>
                <w:szCs w:val="21"/>
                <w:highlight w:val="none"/>
                <w:shd w:val="clear" w:color="auto" w:fill="auto"/>
                <w:lang w:val="en-US" w:eastAsia="zh-CN"/>
              </w:rPr>
              <w:t>计算评标基准价、评标价得分及综合得分；</w:t>
            </w:r>
            <w:r>
              <w:rPr>
                <w:rFonts w:hint="eastAsia" w:ascii="宋体" w:hAnsi="宋体" w:cs="宋体"/>
                <w:color w:val="auto"/>
                <w:szCs w:val="21"/>
                <w:highlight w:val="none"/>
                <w:shd w:val="clear" w:color="auto" w:fill="auto"/>
              </w:rPr>
              <w:cr/>
            </w:r>
            <w:r>
              <w:rPr>
                <w:rFonts w:hint="eastAsia" w:ascii="宋体" w:hAnsi="宋体" w:cs="宋体"/>
                <w:color w:val="auto"/>
                <w:szCs w:val="21"/>
                <w:highlight w:val="none"/>
                <w:shd w:val="clear" w:color="auto" w:fill="auto"/>
              </w:rPr>
              <w:t>（三）投标文件相关信息的核查。</w:t>
            </w:r>
          </w:p>
          <w:p>
            <w:pPr>
              <w:spacing w:line="360" w:lineRule="auto"/>
              <w:ind w:left="440" w:leftChars="200" w:right="113"/>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（四）投标文件的澄清和说明(如有)</w:t>
            </w:r>
          </w:p>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（五）</w:t>
            </w:r>
            <w:r>
              <w:rPr>
                <w:rFonts w:hint="eastAsia" w:ascii="宋体" w:hAnsi="宋体" w:cs="宋体"/>
                <w:color w:val="auto"/>
                <w:szCs w:val="21"/>
                <w:highlight w:val="none"/>
                <w:shd w:val="clear" w:color="auto" w:fill="auto"/>
                <w:lang w:val="en-US" w:eastAsia="zh-CN"/>
              </w:rPr>
              <w:t>按评标办法规定推荐中标候选人，编写评标报告。</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422" w:hRule="atLeast"/>
        </w:trPr>
        <w:tc>
          <w:tcPr>
            <w:tcW w:w="1405" w:type="dxa"/>
            <w:tcBorders>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3.2.3</w:t>
            </w:r>
          </w:p>
        </w:tc>
        <w:tc>
          <w:tcPr>
            <w:tcW w:w="8225" w:type="dxa"/>
            <w:tcBorders>
              <w:left w:val="single" w:color="auto" w:sz="4" w:space="0"/>
            </w:tcBorders>
            <w:vAlign w:val="center"/>
          </w:tcPr>
          <w:p>
            <w:pPr>
              <w:spacing w:line="360" w:lineRule="auto"/>
              <w:ind w:right="113" w:firstLine="440" w:firstLineChars="200"/>
              <w:rPr>
                <w:rFonts w:hint="eastAsia" w:ascii="宋体" w:hAnsi="宋体" w:eastAsia="宋体" w:cs="宋体"/>
                <w:color w:val="auto"/>
                <w:highlight w:val="none"/>
                <w:shd w:val="clear" w:color="auto" w:fill="auto"/>
              </w:rPr>
            </w:pPr>
            <w:r>
              <w:rPr>
                <w:rFonts w:hint="eastAsia" w:ascii="宋体" w:hAnsi="宋体" w:eastAsia="宋体" w:cs="宋体"/>
                <w:color w:val="auto"/>
                <w:highlight w:val="none"/>
                <w:shd w:val="clear" w:color="auto" w:fill="auto"/>
              </w:rPr>
              <w:t>将评标办法范本原文第3.2.3项细化如下：</w:t>
            </w:r>
          </w:p>
          <w:p>
            <w:pPr>
              <w:spacing w:line="360" w:lineRule="auto"/>
              <w:ind w:right="113" w:firstLine="440" w:firstLineChars="200"/>
              <w:rPr>
                <w:rFonts w:hint="eastAsia" w:ascii="宋体" w:hAnsi="宋体" w:eastAsia="宋体" w:cs="宋体"/>
                <w:color w:val="auto"/>
                <w:highlight w:val="none"/>
                <w:shd w:val="clear" w:color="auto" w:fill="auto"/>
              </w:rPr>
            </w:pPr>
            <w:r>
              <w:rPr>
                <w:rFonts w:hint="eastAsia" w:ascii="宋体" w:hAnsi="宋体" w:eastAsia="宋体" w:cs="宋体"/>
                <w:color w:val="auto"/>
                <w:highlight w:val="none"/>
                <w:shd w:val="clear" w:color="auto" w:fill="auto"/>
              </w:rPr>
              <w:t>投标人的商务和技术得分=A+B+</w:t>
            </w:r>
            <w:r>
              <w:rPr>
                <w:rFonts w:hint="eastAsia" w:ascii="宋体" w:hAnsi="宋体" w:eastAsia="宋体" w:cs="宋体"/>
                <w:color w:val="auto"/>
                <w:highlight w:val="none"/>
                <w:shd w:val="clear" w:color="auto" w:fill="auto"/>
                <w:lang w:val="en-US" w:eastAsia="zh-CN"/>
              </w:rPr>
              <w:t>D</w:t>
            </w:r>
            <w:r>
              <w:rPr>
                <w:rFonts w:hint="eastAsia" w:ascii="宋体" w:hAnsi="宋体" w:eastAsia="宋体" w:cs="宋体"/>
                <w:color w:val="auto"/>
                <w:highlight w:val="none"/>
                <w:shd w:val="clear" w:color="auto" w:fill="auto"/>
              </w:rPr>
              <w:t>。</w:t>
            </w:r>
          </w:p>
          <w:p>
            <w:pPr>
              <w:spacing w:line="360" w:lineRule="auto"/>
              <w:ind w:right="113" w:firstLine="440" w:firstLineChars="200"/>
              <w:rPr>
                <w:color w:val="auto"/>
                <w:highlight w:val="none"/>
                <w:shd w:val="clear" w:color="auto" w:fill="auto"/>
              </w:rPr>
            </w:pPr>
            <w:r>
              <w:rPr>
                <w:rFonts w:hint="eastAsia" w:ascii="宋体" w:hAnsi="宋体" w:eastAsia="宋体" w:cs="宋体"/>
                <w:color w:val="auto"/>
                <w:highlight w:val="none"/>
                <w:shd w:val="clear" w:color="auto" w:fill="auto"/>
                <w:lang w:val="en-US" w:eastAsia="zh-CN"/>
              </w:rPr>
              <w:t>除履约信誉、技术能力、主要人员得分外，投标文件各评分因素细分项得分均不应低于其权重分的60%，评分低于权重分值60%的，评标委员会成员应当在评标报告中作出说明。计算投标人技术得分时：首先在评委技术评分中，同一评委对各投标人评分总分的差值最大的评委评分进行取舍（当一位或两位评委评分差值最大时均取消其评委评分，当多于两位评分差值均最大时，不取消任一评委评分），再对各评分因素细分项中取消一个最高、一个最低分后计算算术平均值的和为投标人的最终技术得分，平均值计算四舍五入保留小数点后三位。</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7" w:hRule="atLeast"/>
        </w:trPr>
        <w:tc>
          <w:tcPr>
            <w:tcW w:w="1405" w:type="dxa"/>
            <w:tcBorders>
              <w:right w:val="single" w:color="auto" w:sz="4" w:space="0"/>
            </w:tcBorders>
            <w:vAlign w:val="center"/>
          </w:tcPr>
          <w:p>
            <w:pPr>
              <w:spacing w:line="360" w:lineRule="auto"/>
              <w:ind w:right="113"/>
              <w:jc w:val="center"/>
              <w:rPr>
                <w:rFonts w:hint="eastAsia" w:ascii="宋体" w:hAnsi="宋体" w:eastAsia="宋体" w:cs="宋体"/>
                <w:color w:val="auto"/>
                <w:szCs w:val="21"/>
                <w:highlight w:val="none"/>
                <w:shd w:val="clear" w:color="auto" w:fill="auto"/>
                <w:lang w:val="en-US" w:eastAsia="zh-CN"/>
              </w:rPr>
            </w:pPr>
            <w:r>
              <w:rPr>
                <w:rFonts w:hint="eastAsia" w:ascii="宋体" w:hAnsi="宋体" w:cs="宋体"/>
                <w:color w:val="auto"/>
                <w:szCs w:val="21"/>
                <w:highlight w:val="none"/>
                <w:shd w:val="clear" w:color="auto" w:fill="auto"/>
              </w:rPr>
              <w:t>3.6</w:t>
            </w:r>
          </w:p>
        </w:tc>
        <w:tc>
          <w:tcPr>
            <w:tcW w:w="8225" w:type="dxa"/>
            <w:tcBorders>
              <w:left w:val="single" w:color="auto" w:sz="4" w:space="0"/>
            </w:tcBorders>
            <w:vAlign w:val="center"/>
          </w:tcPr>
          <w:p>
            <w:pPr>
              <w:spacing w:line="360" w:lineRule="auto"/>
              <w:ind w:right="113" w:firstLine="440" w:firstLineChars="200"/>
              <w:rPr>
                <w:rFonts w:ascii="宋体" w:hAnsi="宋体" w:cs="宋体"/>
                <w:color w:val="auto"/>
                <w:szCs w:val="21"/>
                <w:highlight w:val="none"/>
                <w:shd w:val="clear" w:color="auto" w:fill="auto"/>
              </w:rPr>
            </w:pPr>
            <w:r>
              <w:rPr>
                <w:color w:val="auto"/>
                <w:highlight w:val="none"/>
                <w:shd w:val="clear" w:color="auto" w:fill="auto"/>
              </w:rPr>
              <w:t>增</w:t>
            </w:r>
            <w:r>
              <w:rPr>
                <w:rFonts w:hint="eastAsia" w:ascii="宋体" w:hAnsi="宋体" w:cs="宋体"/>
                <w:color w:val="auto"/>
                <w:szCs w:val="21"/>
                <w:highlight w:val="none"/>
                <w:shd w:val="clear" w:color="auto" w:fill="auto"/>
              </w:rPr>
              <w:t>加3.6.3项：</w:t>
            </w:r>
          </w:p>
          <w:p>
            <w:pPr>
              <w:spacing w:line="360" w:lineRule="auto"/>
              <w:ind w:right="113" w:firstLine="440" w:firstLineChars="200"/>
              <w:rPr>
                <w:color w:val="auto"/>
                <w:highlight w:val="none"/>
                <w:shd w:val="clear" w:color="auto" w:fill="auto"/>
              </w:rPr>
            </w:pPr>
            <w:r>
              <w:rPr>
                <w:rFonts w:hint="eastAsia" w:ascii="宋体" w:hAnsi="宋体" w:cs="宋体"/>
                <w:color w:val="auto"/>
                <w:szCs w:val="21"/>
                <w:highlight w:val="none"/>
                <w:shd w:val="clear" w:color="auto" w:fill="auto"/>
              </w:rPr>
              <w:t>3.6.3依法必须进行招标的项目，除第一中标候选人或者中标人，其他投标人存在串通投标、弄虚作假、行贿情形且在评标过程中未被发现的，视为对中标结果没有造成实质性影响，招标人可以依法继续开展招标活动。投标人的违法行为由行政监督部门依法处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1152" w:hRule="atLeast"/>
        </w:trPr>
        <w:tc>
          <w:tcPr>
            <w:tcW w:w="1405" w:type="dxa"/>
            <w:tcBorders>
              <w:right w:val="single" w:color="auto" w:sz="4" w:space="0"/>
            </w:tcBorders>
            <w:vAlign w:val="center"/>
          </w:tcPr>
          <w:p>
            <w:pPr>
              <w:spacing w:line="360" w:lineRule="auto"/>
              <w:ind w:right="113"/>
              <w:jc w:val="center"/>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3.9</w:t>
            </w:r>
          </w:p>
        </w:tc>
        <w:tc>
          <w:tcPr>
            <w:tcW w:w="8225" w:type="dxa"/>
            <w:tcBorders>
              <w:left w:val="single" w:color="auto" w:sz="4" w:space="0"/>
            </w:tcBorders>
            <w:vAlign w:val="center"/>
          </w:tcPr>
          <w:p>
            <w:pPr>
              <w:spacing w:line="360" w:lineRule="auto"/>
              <w:ind w:right="113" w:firstLine="440" w:firstLineChars="200"/>
              <w:rPr>
                <w:rFonts w:ascii="宋体" w:hAnsi="宋体" w:cs="宋体"/>
                <w:color w:val="auto"/>
                <w:szCs w:val="21"/>
                <w:highlight w:val="none"/>
                <w:shd w:val="clear" w:color="auto" w:fill="auto"/>
              </w:rPr>
            </w:pPr>
            <w:r>
              <w:rPr>
                <w:rFonts w:hint="eastAsia" w:ascii="宋体" w:hAnsi="宋体" w:cs="宋体"/>
                <w:color w:val="auto"/>
                <w:szCs w:val="21"/>
                <w:highlight w:val="none"/>
                <w:shd w:val="clear" w:color="auto" w:fill="auto"/>
              </w:rPr>
              <w:t>增加3.9.3-3.9.6项：</w:t>
            </w:r>
          </w:p>
          <w:p>
            <w:pPr>
              <w:spacing w:line="360" w:lineRule="auto"/>
              <w:ind w:right="113" w:firstLine="440" w:firstLineChars="200"/>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3.9.3如果同一投标人在所投多个合同段出现都被评为综合排名第一时(如</w:t>
            </w:r>
          </w:p>
          <w:p>
            <w:pPr>
              <w:spacing w:line="360" w:lineRule="auto"/>
              <w:ind w:right="113" w:firstLine="440" w:firstLineChars="200"/>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此种情况不止一个投标人，则按其所投合同段最高投标限价高低顺序依次进行以下操作)，而按招标文件规定允许授予合同的个数不大于所投合同段个数时，则选择该投标人在所投合同段最高投标限价高的合同段为第一中标候选人的原则，该投标人</w:t>
            </w:r>
          </w:p>
          <w:p>
            <w:pPr>
              <w:spacing w:line="360" w:lineRule="auto"/>
              <w:ind w:right="113"/>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在本次招标的其它合同段则自动失去中标候选人的资格。</w:t>
            </w:r>
          </w:p>
          <w:p>
            <w:pPr>
              <w:spacing w:line="360" w:lineRule="auto"/>
              <w:ind w:right="113" w:firstLine="440" w:firstLineChars="200"/>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3.9.4通过第一信封商务及技术文件评审的投标人少于3个的，评标委员会可以否决全部投标；未否决全部投标的，评标委员会应当在评标报告中阐明理由，招标人应当按照招标文件规定的程序进行第二信封报价文件开标，但评标委员会在进行报价文件评审时仍有权否决全部投标；评标委员会未在报价文件评审时否决全部投标的，应当在评标报告中阐明理由并推荐中标候选人。</w:t>
            </w:r>
          </w:p>
          <w:p>
            <w:pPr>
              <w:spacing w:line="360" w:lineRule="auto"/>
              <w:ind w:right="113" w:firstLine="440" w:firstLineChars="200"/>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3.9.5通过第一信封商务及技术文件评审的投标人在3个及以上的，招标人应当按照招标文件规定的程序进行第二信封报价文件开标；在对报价文件进行评审后，有效投标不足3个的，评标委员会可以否决全部投标。未否决全部投标的，评标委员会应当在评标报告中阐明理由并推荐中标候选人。</w:t>
            </w:r>
          </w:p>
          <w:p>
            <w:pPr>
              <w:spacing w:line="360" w:lineRule="auto"/>
              <w:ind w:right="113" w:firstLine="440" w:firstLineChars="200"/>
              <w:rPr>
                <w:rFonts w:ascii="宋体" w:hAnsi="宋体" w:eastAsia="Times New Roman" w:cs="宋体"/>
                <w:color w:val="auto"/>
                <w:highlight w:val="none"/>
                <w:shd w:val="clear" w:color="auto" w:fill="auto"/>
              </w:rPr>
            </w:pPr>
            <w:r>
              <w:rPr>
                <w:rFonts w:hint="eastAsia" w:ascii="宋体" w:hAnsi="宋体" w:eastAsia="Times New Roman" w:cs="宋体"/>
                <w:color w:val="auto"/>
                <w:highlight w:val="none"/>
                <w:shd w:val="clear" w:color="auto" w:fill="auto"/>
                <w:lang w:val="en-US" w:eastAsia="zh-CN"/>
              </w:rPr>
              <w:t>3.9.6如果发生无法确定推荐中标候选人的其它意外情况，评标委员会可建议招标人重新招标。</w:t>
            </w:r>
          </w:p>
          <w:p>
            <w:pPr>
              <w:spacing w:line="360" w:lineRule="auto"/>
              <w:ind w:right="113" w:firstLine="440" w:firstLineChars="200"/>
              <w:rPr>
                <w:rFonts w:ascii="宋体" w:hAnsi="宋体" w:eastAsia="Times New Roman" w:cs="宋体"/>
                <w:color w:val="auto"/>
                <w:highlight w:val="none"/>
                <w:shd w:val="clear" w:color="auto" w:fill="auto"/>
              </w:rPr>
            </w:pPr>
          </w:p>
        </w:tc>
      </w:tr>
    </w:tbl>
    <w:p>
      <w:pPr>
        <w:rPr>
          <w:color w:val="auto"/>
        </w:rPr>
      </w:pPr>
    </w:p>
    <w:p>
      <w:pPr>
        <w:pStyle w:val="13"/>
        <w:rPr>
          <w:color w:val="auto"/>
          <w:sz w:val="20"/>
        </w:rPr>
      </w:pPr>
    </w:p>
    <w:p>
      <w:pPr>
        <w:rPr>
          <w:rFonts w:ascii="黑体" w:hAnsi="黑体" w:eastAsia="黑体"/>
          <w:color w:val="auto"/>
          <w:sz w:val="28"/>
        </w:rPr>
      </w:pPr>
      <w:r>
        <w:rPr>
          <w:color w:val="auto"/>
          <w:sz w:val="28"/>
        </w:rPr>
        <w:br w:type="page"/>
      </w:r>
    </w:p>
    <w:p>
      <w:pPr>
        <w:spacing w:before="91" w:line="222" w:lineRule="auto"/>
        <w:ind w:left="32"/>
        <w:rPr>
          <w:rFonts w:ascii="Times New Roman" w:hAnsi="Times New Roman" w:eastAsia="Times New Roman" w:cs="Times New Roman"/>
          <w:color w:val="auto"/>
          <w:spacing w:val="-4"/>
          <w:sz w:val="28"/>
          <w:szCs w:val="28"/>
        </w:rPr>
      </w:pPr>
    </w:p>
    <w:p>
      <w:pPr>
        <w:spacing w:before="91" w:line="222" w:lineRule="auto"/>
        <w:ind w:left="32"/>
        <w:rPr>
          <w:rFonts w:ascii="黑体" w:hAnsi="黑体" w:eastAsia="黑体" w:cs="黑体"/>
          <w:color w:val="auto"/>
          <w:spacing w:val="-4"/>
          <w:sz w:val="28"/>
          <w:szCs w:val="28"/>
        </w:rPr>
      </w:pPr>
      <w:r>
        <w:rPr>
          <w:rFonts w:ascii="Times New Roman" w:hAnsi="Times New Roman" w:eastAsia="Times New Roman" w:cs="Times New Roman"/>
          <w:color w:val="auto"/>
          <w:spacing w:val="-4"/>
          <w:sz w:val="28"/>
          <w:szCs w:val="28"/>
        </w:rPr>
        <w:t>1.</w:t>
      </w:r>
      <w:r>
        <w:rPr>
          <w:rFonts w:ascii="黑体" w:hAnsi="黑体" w:eastAsia="黑体" w:cs="黑体"/>
          <w:color w:val="auto"/>
          <w:spacing w:val="-4"/>
          <w:sz w:val="28"/>
          <w:szCs w:val="28"/>
        </w:rPr>
        <w:t>评标方法</w:t>
      </w:r>
    </w:p>
    <w:p>
      <w:pPr>
        <w:pStyle w:val="13"/>
        <w:rPr>
          <w:color w:val="auto"/>
        </w:rPr>
      </w:pP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本次</w:t>
      </w:r>
      <w:r>
        <w:rPr>
          <w:rFonts w:hint="eastAsia" w:ascii="宋体" w:hAnsi="宋体" w:eastAsia="宋体" w:cs="宋体"/>
          <w:color w:val="auto"/>
          <w:sz w:val="24"/>
          <w:szCs w:val="22"/>
          <w:highlight w:val="none"/>
          <w:shd w:val="clear" w:color="auto" w:fill="auto"/>
          <w:lang w:val="en-US" w:eastAsia="zh-CN"/>
        </w:rPr>
        <w:t>本次评标采用综合评分法。评标委员会对满足招标文件实质性要求的投标文件，按照本章第2.2款规定的评分标准进行打分，并按得分由高到低顺序推荐中标候选人，</w:t>
      </w:r>
      <w:r>
        <w:rPr>
          <w:rFonts w:hint="eastAsia" w:ascii="宋体" w:hAnsi="宋体" w:eastAsia="宋体" w:cs="宋体"/>
          <w:color w:val="000000" w:themeColor="text1"/>
          <w:sz w:val="24"/>
          <w:szCs w:val="22"/>
          <w:highlight w:val="none"/>
          <w:shd w:val="clear" w:color="auto" w:fill="auto"/>
          <w:lang w:val="en-US" w:eastAsia="zh-CN"/>
          <w14:textFill>
            <w14:solidFill>
              <w14:schemeClr w14:val="tx1"/>
            </w14:solidFill>
          </w14:textFill>
        </w:rPr>
        <w:t>或根据招标人授权直接确定中标人</w:t>
      </w:r>
      <w:r>
        <w:rPr>
          <w:rFonts w:hint="eastAsia" w:cs="宋体"/>
          <w:color w:val="000000" w:themeColor="text1"/>
          <w:sz w:val="24"/>
          <w:szCs w:val="22"/>
          <w:highlight w:val="none"/>
          <w:shd w:val="clear" w:color="auto" w:fill="auto"/>
          <w:lang w:val="en-US" w:eastAsia="zh-CN"/>
          <w14:textFill>
            <w14:solidFill>
              <w14:schemeClr w14:val="tx1"/>
            </w14:solidFill>
          </w14:textFill>
        </w:rPr>
        <w:t>,</w:t>
      </w:r>
      <w:r>
        <w:rPr>
          <w:rFonts w:hint="eastAsia" w:ascii="宋体" w:hAnsi="宋体" w:eastAsia="宋体" w:cs="宋体"/>
          <w:color w:val="auto"/>
          <w:sz w:val="24"/>
          <w:szCs w:val="22"/>
          <w:highlight w:val="none"/>
          <w:shd w:val="clear" w:color="auto" w:fill="auto"/>
          <w:lang w:val="en-US" w:eastAsia="zh-CN"/>
        </w:rPr>
        <w:t>但投标报价低于其成本的除外。综合评分相等时，评标委员会应按照评标办法前附表规定的优先次序推荐中标候选人或确定中标人。</w:t>
      </w:r>
    </w:p>
    <w:p>
      <w:pPr>
        <w:spacing w:before="250" w:line="222" w:lineRule="auto"/>
        <w:outlineLvl w:val="0"/>
        <w:rPr>
          <w:rFonts w:ascii="黑体" w:hAnsi="黑体" w:eastAsia="黑体" w:cs="黑体"/>
          <w:color w:val="auto"/>
          <w:sz w:val="28"/>
          <w:szCs w:val="28"/>
        </w:rPr>
      </w:pPr>
      <w:r>
        <w:rPr>
          <w:rFonts w:ascii="Times New Roman" w:hAnsi="Times New Roman" w:eastAsia="Times New Roman" w:cs="Times New Roman"/>
          <w:color w:val="auto"/>
          <w:spacing w:val="-1"/>
          <w:sz w:val="28"/>
          <w:szCs w:val="28"/>
        </w:rPr>
        <w:t>2.</w:t>
      </w:r>
      <w:r>
        <w:rPr>
          <w:rFonts w:ascii="黑体" w:hAnsi="黑体" w:eastAsia="黑体" w:cs="黑体"/>
          <w:color w:val="auto"/>
          <w:spacing w:val="-1"/>
          <w:sz w:val="28"/>
          <w:szCs w:val="28"/>
        </w:rPr>
        <w:t>评</w:t>
      </w:r>
      <w:r>
        <w:rPr>
          <w:rFonts w:ascii="黑体" w:hAnsi="黑体" w:eastAsia="黑体" w:cs="黑体"/>
          <w:color w:val="auto"/>
          <w:sz w:val="28"/>
          <w:szCs w:val="28"/>
        </w:rPr>
        <w:t>审标准</w:t>
      </w:r>
    </w:p>
    <w:p>
      <w:pPr>
        <w:pStyle w:val="13"/>
        <w:rPr>
          <w:color w:val="auto"/>
        </w:rPr>
      </w:pPr>
    </w:p>
    <w:p>
      <w:pPr>
        <w:spacing w:line="360" w:lineRule="auto"/>
        <w:ind w:right="113" w:firstLine="482" w:firstLineChars="200"/>
        <w:rPr>
          <w:rFonts w:hint="eastAsia" w:ascii="宋体" w:hAnsi="宋体" w:eastAsia="宋体" w:cs="宋体"/>
          <w:b/>
          <w:bCs/>
          <w:color w:val="auto"/>
          <w:sz w:val="24"/>
          <w:szCs w:val="22"/>
          <w:highlight w:val="none"/>
          <w:shd w:val="clear" w:color="auto" w:fill="auto"/>
        </w:rPr>
      </w:pPr>
      <w:r>
        <w:rPr>
          <w:rFonts w:hint="eastAsia" w:ascii="宋体" w:hAnsi="宋体" w:eastAsia="宋体" w:cs="宋体"/>
          <w:b/>
          <w:bCs/>
          <w:color w:val="auto"/>
          <w:sz w:val="24"/>
          <w:szCs w:val="22"/>
          <w:highlight w:val="none"/>
          <w:shd w:val="clear" w:color="auto" w:fill="auto"/>
        </w:rPr>
        <w:t>2.1初步评审标准</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2.1.1形式评审标准：见评标办法前附表。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2.1.2资格评审标准：见评标办法前附表(适用于未进行资格预审的)。</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2.1.2资格评审标准：见资格预审文件第三章“资格审查办法”详细审查标准(适用于已进行资格预审的</w:t>
      </w:r>
      <w:r>
        <w:rPr>
          <w:rFonts w:hint="eastAsia" w:ascii="宋体" w:hAnsi="宋体" w:eastAsia="宋体" w:cs="宋体"/>
          <w:color w:val="auto"/>
          <w:sz w:val="24"/>
          <w:szCs w:val="22"/>
          <w:highlight w:val="none"/>
          <w:shd w:val="clear" w:color="auto" w:fill="auto"/>
          <w:lang w:eastAsia="zh-CN"/>
        </w:rPr>
        <w:t>）</w:t>
      </w:r>
      <w:r>
        <w:rPr>
          <w:rFonts w:hint="eastAsia" w:ascii="宋体" w:hAnsi="宋体" w:eastAsia="宋体" w:cs="宋体"/>
          <w:color w:val="auto"/>
          <w:sz w:val="24"/>
          <w:szCs w:val="22"/>
          <w:highlight w:val="none"/>
          <w:shd w:val="clear" w:color="auto" w:fill="auto"/>
        </w:rPr>
        <w:t>。</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2.1.3响应性评审标准：见评标办法前附表。</w:t>
      </w:r>
    </w:p>
    <w:p>
      <w:pPr>
        <w:spacing w:line="360" w:lineRule="auto"/>
        <w:ind w:right="113" w:firstLine="482" w:firstLineChars="200"/>
        <w:rPr>
          <w:rFonts w:hint="eastAsia" w:ascii="宋体" w:hAnsi="宋体" w:eastAsia="宋体" w:cs="宋体"/>
          <w:b/>
          <w:bCs/>
          <w:color w:val="auto"/>
          <w:sz w:val="24"/>
          <w:szCs w:val="22"/>
          <w:highlight w:val="none"/>
          <w:shd w:val="clear" w:color="auto" w:fill="auto"/>
        </w:rPr>
      </w:pPr>
      <w:r>
        <w:rPr>
          <w:rFonts w:hint="eastAsia" w:ascii="宋体" w:hAnsi="宋体" w:eastAsia="宋体" w:cs="宋体"/>
          <w:b/>
          <w:bCs/>
          <w:color w:val="auto"/>
          <w:sz w:val="24"/>
          <w:szCs w:val="22"/>
          <w:highlight w:val="none"/>
          <w:shd w:val="clear" w:color="auto" w:fill="auto"/>
        </w:rPr>
        <w:t>2.2分值构成与评分标准</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2.2.1第一个信封评分分值构成</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(1)施工组织设计：见评标办法前附表；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(2)主要人员：见评标办法前附表；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rPr>
        <w:t>(3)其他评分因素：见评标办法前附表。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2.2.2评标基准价计算</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评标基准价计算方法：见评标办法前附表。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2.2.3投标报价的偏差率计算</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投标报价的偏差率计算公式：见评标办法前附表。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2.2.4评分标准</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(1)施工组织设计评分标准：见评标办法前附表；</w:t>
      </w:r>
    </w:p>
    <w:p>
      <w:pPr>
        <w:spacing w:line="360" w:lineRule="auto"/>
        <w:ind w:right="113" w:firstLine="480" w:firstLineChars="200"/>
        <w:rPr>
          <w:rFonts w:hint="eastAsia" w:ascii="宋体" w:hAnsi="宋体" w:eastAsia="宋体" w:cs="宋体"/>
          <w:color w:val="auto"/>
          <w:sz w:val="24"/>
          <w:szCs w:val="22"/>
          <w:highlight w:val="none"/>
          <w:shd w:val="clear" w:color="auto" w:fill="auto"/>
        </w:rPr>
      </w:pPr>
      <w:r>
        <w:rPr>
          <w:rFonts w:hint="eastAsia" w:ascii="宋体" w:hAnsi="宋体" w:eastAsia="宋体" w:cs="宋体"/>
          <w:color w:val="auto"/>
          <w:sz w:val="24"/>
          <w:szCs w:val="22"/>
          <w:highlight w:val="none"/>
          <w:shd w:val="clear" w:color="auto" w:fill="auto"/>
          <w:lang w:val="en-US" w:eastAsia="zh-CN"/>
        </w:rPr>
        <w:t>(2)评标价评分标准：见评标办法前附表；</w:t>
      </w:r>
    </w:p>
    <w:p>
      <w:pPr>
        <w:spacing w:line="360" w:lineRule="auto"/>
        <w:ind w:right="113" w:firstLine="480" w:firstLineChars="200"/>
        <w:rPr>
          <w:rFonts w:hint="eastAsia"/>
          <w:color w:val="auto"/>
        </w:rPr>
      </w:pPr>
      <w:r>
        <w:rPr>
          <w:rFonts w:hint="eastAsia" w:ascii="宋体" w:hAnsi="宋体" w:eastAsia="宋体" w:cs="宋体"/>
          <w:color w:val="auto"/>
          <w:sz w:val="24"/>
          <w:szCs w:val="22"/>
          <w:highlight w:val="none"/>
          <w:shd w:val="clear" w:color="auto" w:fill="auto"/>
          <w:lang w:val="en-US" w:eastAsia="zh-CN"/>
        </w:rPr>
        <w:t>(3)其他因素评分标准：见评标办法前附表。</w:t>
      </w:r>
    </w:p>
    <w:p>
      <w:pPr>
        <w:numPr>
          <w:ilvl w:val="0"/>
          <w:numId w:val="0"/>
        </w:numPr>
        <w:tabs>
          <w:tab w:val="left" w:pos="620"/>
        </w:tabs>
        <w:spacing w:line="320" w:lineRule="exact"/>
        <w:rPr>
          <w:rFonts w:ascii="黑体" w:hAnsi="黑体" w:eastAsia="黑体"/>
          <w:b/>
          <w:bCs/>
          <w:color w:val="auto"/>
          <w:sz w:val="28"/>
        </w:rPr>
      </w:pPr>
      <w:r>
        <w:rPr>
          <w:rFonts w:hint="eastAsia"/>
          <w:b/>
          <w:bCs/>
          <w:color w:val="auto"/>
          <w:sz w:val="28"/>
          <w:lang w:val="en-US" w:eastAsia="zh-CN"/>
        </w:rPr>
        <w:t>3.</w:t>
      </w:r>
      <w:r>
        <w:rPr>
          <w:b/>
          <w:bCs/>
          <w:color w:val="auto"/>
          <w:sz w:val="28"/>
        </w:rPr>
        <w:t>评标程序</w:t>
      </w:r>
    </w:p>
    <w:p>
      <w:pPr>
        <w:spacing w:line="282" w:lineRule="exact"/>
        <w:rPr>
          <w:rFonts w:ascii="Times New Roman" w:hAnsi="Times New Roman" w:eastAsia="Times New Roman"/>
          <w:color w:val="auto"/>
        </w:rPr>
      </w:pPr>
    </w:p>
    <w:p>
      <w:pPr>
        <w:spacing w:line="274" w:lineRule="exact"/>
        <w:ind w:left="200"/>
        <w:rPr>
          <w:b/>
          <w:bCs/>
          <w:color w:val="auto"/>
          <w:sz w:val="24"/>
        </w:rPr>
      </w:pPr>
      <w:r>
        <w:rPr>
          <w:rFonts w:ascii="黑体" w:hAnsi="黑体" w:eastAsia="黑体"/>
          <w:b/>
          <w:bCs/>
          <w:color w:val="auto"/>
          <w:sz w:val="24"/>
        </w:rPr>
        <w:t>3.1</w:t>
      </w:r>
      <w:r>
        <w:rPr>
          <w:b/>
          <w:bCs/>
          <w:color w:val="auto"/>
          <w:sz w:val="24"/>
        </w:rPr>
        <w:t>第一个信封初步评审</w:t>
      </w:r>
    </w:p>
    <w:p>
      <w:pPr>
        <w:spacing w:line="367" w:lineRule="exact"/>
        <w:rPr>
          <w:rFonts w:ascii="Times New Roman" w:hAnsi="Times New Roman" w:eastAsia="Times New Roman"/>
          <w:color w:val="auto"/>
        </w:rPr>
      </w:pPr>
    </w:p>
    <w:p>
      <w:pPr>
        <w:spacing w:line="360" w:lineRule="auto"/>
        <w:ind w:left="220" w:leftChars="0" w:firstLine="458" w:firstLineChars="191"/>
        <w:rPr>
          <w:color w:val="auto"/>
          <w:sz w:val="24"/>
        </w:rPr>
      </w:pPr>
      <w:r>
        <w:rPr>
          <w:color w:val="auto"/>
          <w:sz w:val="24"/>
        </w:rPr>
        <w:t>3.</w:t>
      </w:r>
      <w:r>
        <w:rPr>
          <w:rFonts w:hint="eastAsia"/>
          <w:color w:val="auto"/>
          <w:sz w:val="24"/>
          <w:lang w:val="en-US" w:eastAsia="zh-CN"/>
        </w:rPr>
        <w:t>1.1评标委员会依据本章第2.1.1项、第2.1.3项规定的评审标准对投标文件第一个信封(商务及技术文件)进行初步评审。有一项不符合评审标准的，评标委员会应否决其投标。当投标人资格预审申请文件的内容发生重大变化时，评标委员会依据本章第</w:t>
      </w:r>
    </w:p>
    <w:p>
      <w:pPr>
        <w:spacing w:line="360" w:lineRule="auto"/>
        <w:ind w:firstLine="240" w:firstLineChars="100"/>
        <w:rPr>
          <w:rFonts w:hint="eastAsia" w:eastAsia="宋体"/>
          <w:color w:val="auto"/>
          <w:sz w:val="24"/>
          <w:lang w:eastAsia="zh-CN"/>
        </w:rPr>
      </w:pPr>
      <w:r>
        <w:rPr>
          <w:rFonts w:hint="eastAsia"/>
          <w:color w:val="auto"/>
          <w:sz w:val="24"/>
          <w:lang w:val="en-US" w:eastAsia="zh-CN"/>
        </w:rPr>
        <w:t>2.1.2项规定的标准对其更新资料进行评审。</w:t>
      </w:r>
    </w:p>
    <w:p>
      <w:pPr>
        <w:spacing w:line="20" w:lineRule="exact"/>
        <w:rPr>
          <w:rFonts w:ascii="Times New Roman" w:hAnsi="Times New Roman" w:eastAsia="Times New Roman"/>
          <w:color w:val="auto"/>
        </w:rPr>
      </w:pPr>
      <w:bookmarkStart w:id="5" w:name="page84"/>
      <w:bookmarkEnd w:id="5"/>
    </w:p>
    <w:p>
      <w:pPr>
        <w:spacing w:line="274" w:lineRule="exact"/>
        <w:rPr>
          <w:rFonts w:ascii="宋体" w:hAnsi="宋体" w:eastAsia="宋体" w:cs="宋体"/>
          <w:b/>
          <w:bCs/>
          <w:color w:val="auto"/>
          <w:sz w:val="24"/>
        </w:rPr>
      </w:pPr>
      <w:r>
        <w:rPr>
          <w:rFonts w:ascii="宋体" w:hAnsi="宋体" w:eastAsia="宋体" w:cs="宋体"/>
          <w:b/>
          <w:bCs/>
          <w:color w:val="auto"/>
          <w:sz w:val="24"/>
        </w:rPr>
        <w:t>3.2第一个信封详细评审</w:t>
      </w:r>
    </w:p>
    <w:p>
      <w:pPr>
        <w:pStyle w:val="13"/>
        <w:rPr>
          <w:color w:val="auto"/>
        </w:rPr>
      </w:pPr>
    </w:p>
    <w:p>
      <w:pPr>
        <w:spacing w:line="360" w:lineRule="auto"/>
        <w:ind w:right="146" w:firstLine="480" w:firstLineChars="200"/>
        <w:jc w:val="both"/>
        <w:rPr>
          <w:rFonts w:ascii="宋体" w:hAnsi="宋体" w:eastAsia="宋体" w:cs="宋体"/>
          <w:color w:val="auto"/>
          <w:sz w:val="24"/>
        </w:rPr>
      </w:pPr>
      <w:r>
        <w:rPr>
          <w:rFonts w:ascii="宋体" w:hAnsi="宋体" w:eastAsia="宋体" w:cs="宋体"/>
          <w:color w:val="auto"/>
          <w:sz w:val="24"/>
        </w:rPr>
        <w:t>3.2.1评标委员会按本章第2.2款规定的量化因素和分值进行打分，并计算出各投标人的商务和技术得分。</w:t>
      </w:r>
    </w:p>
    <w:p>
      <w:pPr>
        <w:spacing w:line="360" w:lineRule="auto"/>
        <w:ind w:right="146" w:firstLine="480" w:firstLineChars="200"/>
        <w:jc w:val="both"/>
        <w:rPr>
          <w:rFonts w:hint="default" w:ascii="宋体" w:hAnsi="宋体" w:eastAsia="宋体" w:cs="宋体"/>
          <w:color w:val="auto"/>
          <w:sz w:val="24"/>
          <w:lang w:val="en-US" w:eastAsia="zh-CN"/>
        </w:rPr>
      </w:pPr>
      <w:r>
        <w:rPr>
          <w:rFonts w:ascii="宋体" w:hAnsi="宋体" w:eastAsia="宋体" w:cs="宋体"/>
          <w:color w:val="auto"/>
          <w:sz w:val="24"/>
        </w:rPr>
        <w:t>(1)按本章第2.2.</w:t>
      </w:r>
      <w:r>
        <w:rPr>
          <w:rFonts w:hint="eastAsia" w:cs="宋体"/>
          <w:color w:val="auto"/>
          <w:sz w:val="24"/>
          <w:lang w:val="en-US" w:eastAsia="zh-CN"/>
        </w:rPr>
        <w:t>4</w:t>
      </w:r>
      <w:r>
        <w:rPr>
          <w:rFonts w:ascii="宋体" w:hAnsi="宋体" w:eastAsia="宋体" w:cs="宋体"/>
          <w:color w:val="auto"/>
          <w:sz w:val="24"/>
        </w:rPr>
        <w:t>项(1)目规定的评审因素和分值对施工组织设计部分计算出得分A</w:t>
      </w:r>
      <w:r>
        <w:rPr>
          <w:rFonts w:hint="eastAsia" w:ascii="宋体" w:hAnsi="宋体" w:eastAsia="宋体" w:cs="宋体"/>
          <w:color w:val="auto"/>
          <w:sz w:val="24"/>
          <w:lang w:val="en-US" w:eastAsia="zh-CN"/>
        </w:rPr>
        <w:t>；</w:t>
      </w:r>
    </w:p>
    <w:p>
      <w:pPr>
        <w:spacing w:line="360" w:lineRule="auto"/>
        <w:ind w:right="146" w:firstLine="480" w:firstLineChars="200"/>
        <w:jc w:val="both"/>
        <w:rPr>
          <w:rFonts w:ascii="宋体" w:hAnsi="宋体" w:eastAsia="宋体" w:cs="宋体"/>
          <w:color w:val="auto"/>
          <w:sz w:val="24"/>
        </w:rPr>
      </w:pPr>
      <w:r>
        <w:rPr>
          <w:rFonts w:ascii="宋体" w:hAnsi="宋体" w:eastAsia="宋体" w:cs="宋体"/>
          <w:color w:val="auto"/>
          <w:sz w:val="24"/>
        </w:rPr>
        <w:t>(2)按本章第2.2.</w:t>
      </w:r>
      <w:r>
        <w:rPr>
          <w:rFonts w:hint="eastAsia" w:cs="宋体"/>
          <w:color w:val="auto"/>
          <w:sz w:val="24"/>
          <w:lang w:val="en-US" w:eastAsia="zh-CN"/>
        </w:rPr>
        <w:t>4</w:t>
      </w:r>
      <w:r>
        <w:rPr>
          <w:rFonts w:ascii="宋体" w:hAnsi="宋体" w:eastAsia="宋体" w:cs="宋体"/>
          <w:color w:val="auto"/>
          <w:sz w:val="24"/>
        </w:rPr>
        <w:t>项(2)目规定的评审因素和分值对主要人员部分计算出得分B；</w:t>
      </w:r>
    </w:p>
    <w:p>
      <w:pPr>
        <w:spacing w:line="360" w:lineRule="auto"/>
        <w:ind w:right="146" w:firstLine="480" w:firstLineChars="200"/>
        <w:jc w:val="both"/>
        <w:rPr>
          <w:rFonts w:ascii="宋体" w:hAnsi="宋体" w:eastAsia="宋体" w:cs="宋体"/>
          <w:color w:val="auto"/>
          <w:sz w:val="24"/>
        </w:rPr>
      </w:pPr>
      <w:r>
        <w:rPr>
          <w:rFonts w:ascii="宋体" w:hAnsi="宋体" w:eastAsia="宋体" w:cs="宋体"/>
          <w:color w:val="auto"/>
          <w:sz w:val="24"/>
        </w:rPr>
        <w:t>(3)按本章第2.2.</w:t>
      </w:r>
      <w:r>
        <w:rPr>
          <w:rFonts w:hint="eastAsia" w:cs="宋体"/>
          <w:color w:val="auto"/>
          <w:sz w:val="24"/>
          <w:lang w:val="en-US" w:eastAsia="zh-CN"/>
        </w:rPr>
        <w:t>4</w:t>
      </w:r>
      <w:r>
        <w:rPr>
          <w:rFonts w:ascii="宋体" w:hAnsi="宋体" w:eastAsia="宋体" w:cs="宋体"/>
          <w:color w:val="auto"/>
          <w:sz w:val="24"/>
        </w:rPr>
        <w:t>项(</w:t>
      </w:r>
      <w:r>
        <w:rPr>
          <w:rFonts w:hint="eastAsia" w:cs="宋体"/>
          <w:color w:val="auto"/>
          <w:sz w:val="24"/>
          <w:lang w:val="en-US" w:eastAsia="zh-CN"/>
        </w:rPr>
        <w:t>4</w:t>
      </w:r>
      <w:r>
        <w:rPr>
          <w:rFonts w:ascii="宋体" w:hAnsi="宋体" w:eastAsia="宋体" w:cs="宋体"/>
          <w:color w:val="auto"/>
          <w:sz w:val="24"/>
        </w:rPr>
        <w:t>)目规定的评审因素和分值对其他部分计算出得分</w:t>
      </w:r>
      <w:r>
        <w:rPr>
          <w:rFonts w:hint="eastAsia" w:cs="宋体"/>
          <w:color w:val="auto"/>
          <w:sz w:val="24"/>
          <w:lang w:val="en-US" w:eastAsia="zh-CN"/>
        </w:rPr>
        <w:t>D</w:t>
      </w:r>
      <w:r>
        <w:rPr>
          <w:rFonts w:ascii="宋体" w:hAnsi="宋体" w:eastAsia="宋体" w:cs="宋体"/>
          <w:color w:val="auto"/>
          <w:sz w:val="24"/>
        </w:rPr>
        <w:t>。</w:t>
      </w:r>
    </w:p>
    <w:p>
      <w:pPr>
        <w:spacing w:line="360" w:lineRule="auto"/>
        <w:ind w:right="146" w:firstLine="480" w:firstLineChars="200"/>
        <w:jc w:val="both"/>
        <w:rPr>
          <w:rFonts w:ascii="宋体" w:hAnsi="宋体" w:eastAsia="宋体" w:cs="宋体"/>
          <w:color w:val="auto"/>
          <w:sz w:val="24"/>
        </w:rPr>
      </w:pPr>
      <w:r>
        <w:rPr>
          <w:rFonts w:ascii="宋体" w:hAnsi="宋体" w:eastAsia="宋体" w:cs="宋体"/>
          <w:color w:val="auto"/>
          <w:sz w:val="24"/>
        </w:rPr>
        <w:t>3.2.2投标人的商务和技术得分分值计算保留小数点后两位，小数点后第三位“四舍五入”。</w:t>
      </w:r>
    </w:p>
    <w:p>
      <w:pPr>
        <w:spacing w:line="360" w:lineRule="auto"/>
        <w:ind w:right="146" w:firstLine="480" w:firstLineChars="200"/>
        <w:jc w:val="both"/>
        <w:rPr>
          <w:rFonts w:ascii="宋体" w:hAnsi="宋体" w:eastAsia="宋体" w:cs="宋体"/>
          <w:b/>
          <w:bCs/>
          <w:color w:val="auto"/>
          <w:sz w:val="24"/>
        </w:rPr>
      </w:pPr>
      <w:r>
        <w:rPr>
          <w:rFonts w:ascii="宋体" w:hAnsi="宋体" w:eastAsia="宋体" w:cs="宋体"/>
          <w:color w:val="auto"/>
          <w:sz w:val="24"/>
        </w:rPr>
        <w:t>3.2.3投标人的商务和技术得分=A+B+</w:t>
      </w:r>
      <w:r>
        <w:rPr>
          <w:rFonts w:hint="eastAsia" w:cs="宋体"/>
          <w:color w:val="auto"/>
          <w:sz w:val="24"/>
          <w:lang w:val="en-US" w:eastAsia="zh-CN"/>
        </w:rPr>
        <w:t>D</w:t>
      </w:r>
      <w:r>
        <w:rPr>
          <w:rFonts w:ascii="宋体" w:hAnsi="宋体" w:eastAsia="宋体" w:cs="宋体"/>
          <w:color w:val="auto"/>
          <w:sz w:val="24"/>
        </w:rPr>
        <w:t>。</w:t>
      </w:r>
    </w:p>
    <w:p>
      <w:pPr>
        <w:spacing w:line="274" w:lineRule="exact"/>
        <w:rPr>
          <w:rFonts w:ascii="宋体" w:hAnsi="宋体" w:eastAsia="宋体" w:cs="宋体"/>
          <w:b/>
          <w:bCs/>
          <w:color w:val="auto"/>
          <w:sz w:val="24"/>
        </w:rPr>
      </w:pPr>
      <w:r>
        <w:rPr>
          <w:rFonts w:ascii="宋体" w:hAnsi="宋体" w:eastAsia="宋体" w:cs="宋体"/>
          <w:b/>
          <w:bCs/>
          <w:color w:val="auto"/>
          <w:sz w:val="24"/>
        </w:rPr>
        <w:t>3.</w:t>
      </w:r>
      <w:r>
        <w:rPr>
          <w:rFonts w:hint="eastAsia" w:ascii="宋体" w:hAnsi="宋体" w:eastAsia="宋体" w:cs="宋体"/>
          <w:b/>
          <w:bCs/>
          <w:color w:val="auto"/>
          <w:sz w:val="24"/>
          <w:lang w:val="en-US" w:eastAsia="zh-CN"/>
        </w:rPr>
        <w:t>3</w:t>
      </w:r>
      <w:r>
        <w:rPr>
          <w:rFonts w:ascii="宋体" w:hAnsi="宋体" w:eastAsia="宋体" w:cs="宋体"/>
          <w:b/>
          <w:bCs/>
          <w:color w:val="auto"/>
          <w:sz w:val="24"/>
        </w:rPr>
        <w:t>第二个信封开标</w:t>
      </w:r>
    </w:p>
    <w:p>
      <w:pPr>
        <w:spacing w:line="379" w:lineRule="exact"/>
        <w:rPr>
          <w:rFonts w:ascii="Times New Roman" w:hAnsi="Times New Roman" w:eastAsia="Times New Roman"/>
          <w:color w:val="auto"/>
        </w:rPr>
      </w:pP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第一个信封（商务及技术文件）评审结束后，招标人将按照第二章“投标人须知”</w:t>
      </w:r>
      <w:r>
        <w:rPr>
          <w:rFonts w:hint="eastAsia" w:ascii="宋体" w:hAnsi="宋体" w:eastAsia="宋体" w:cs="宋体"/>
          <w:color w:val="auto"/>
          <w:sz w:val="24"/>
        </w:rPr>
        <w:t>第</w:t>
      </w:r>
      <w:r>
        <w:rPr>
          <w:rFonts w:hint="eastAsia" w:ascii="宋体" w:hAnsi="宋体" w:eastAsia="宋体" w:cs="宋体"/>
          <w:color w:val="auto"/>
          <w:sz w:val="24"/>
          <w:lang w:val="en-US"/>
        </w:rPr>
        <w:t>5.1</w:t>
      </w:r>
      <w:r>
        <w:rPr>
          <w:rFonts w:ascii="宋体" w:hAnsi="宋体" w:eastAsia="宋体" w:cs="宋体"/>
          <w:color w:val="auto"/>
          <w:sz w:val="24"/>
        </w:rPr>
        <w:t>款规定的时间和地点对通过投标文件第一个信封（商务及技术文件）评审的投标文件第二个信封（报价文件）进行开标。</w:t>
      </w:r>
    </w:p>
    <w:p>
      <w:pPr>
        <w:spacing w:line="240" w:lineRule="exact"/>
        <w:rPr>
          <w:rFonts w:ascii="Times New Roman" w:hAnsi="Times New Roman" w:eastAsia="Times New Roman"/>
          <w:color w:val="auto"/>
        </w:rPr>
      </w:pPr>
    </w:p>
    <w:p>
      <w:pPr>
        <w:spacing w:line="274" w:lineRule="exact"/>
        <w:rPr>
          <w:rFonts w:ascii="宋体" w:hAnsi="宋体" w:eastAsia="宋体" w:cs="宋体"/>
          <w:b/>
          <w:bCs/>
          <w:color w:val="auto"/>
          <w:sz w:val="24"/>
        </w:rPr>
      </w:pPr>
      <w:r>
        <w:rPr>
          <w:rFonts w:ascii="宋体" w:hAnsi="宋体" w:eastAsia="宋体" w:cs="宋体"/>
          <w:b/>
          <w:bCs/>
          <w:color w:val="auto"/>
          <w:sz w:val="24"/>
        </w:rPr>
        <w:t>3.</w:t>
      </w:r>
      <w:r>
        <w:rPr>
          <w:rFonts w:hint="eastAsia" w:ascii="宋体" w:hAnsi="宋体" w:eastAsia="宋体" w:cs="宋体"/>
          <w:b/>
          <w:bCs/>
          <w:color w:val="auto"/>
          <w:sz w:val="24"/>
          <w:lang w:val="en-US" w:eastAsia="zh-CN"/>
        </w:rPr>
        <w:t>4</w:t>
      </w:r>
      <w:r>
        <w:rPr>
          <w:rFonts w:ascii="宋体" w:hAnsi="宋体" w:eastAsia="宋体" w:cs="宋体"/>
          <w:b/>
          <w:bCs/>
          <w:color w:val="auto"/>
          <w:sz w:val="24"/>
        </w:rPr>
        <w:t>第二个信封初步评审</w:t>
      </w:r>
    </w:p>
    <w:p>
      <w:pPr>
        <w:spacing w:line="240" w:lineRule="exact"/>
        <w:rPr>
          <w:rFonts w:ascii="Times New Roman" w:hAnsi="Times New Roman" w:eastAsia="Times New Roman"/>
          <w:color w:val="auto"/>
        </w:rPr>
      </w:pP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lang w:val="en-US" w:eastAsia="zh-CN"/>
        </w:rPr>
        <w:t>4</w:t>
      </w:r>
      <w:r>
        <w:rPr>
          <w:rFonts w:ascii="宋体" w:hAnsi="宋体" w:eastAsia="宋体" w:cs="宋体"/>
          <w:color w:val="auto"/>
          <w:sz w:val="24"/>
        </w:rPr>
        <w:t>.1评标委员会依据本章第2.1.1项、第2.1.3项规定的评审标准对投标文件第二个信封（报价文件）进行初步评审。有一项不符合评审标准的，评标委员会应否决其投标。</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lang w:val="en-US" w:eastAsia="zh-CN"/>
        </w:rPr>
        <w:t>4</w:t>
      </w:r>
      <w:r>
        <w:rPr>
          <w:rFonts w:ascii="宋体" w:hAnsi="宋体" w:eastAsia="宋体" w:cs="宋体"/>
          <w:color w:val="auto"/>
          <w:sz w:val="24"/>
        </w:rPr>
        <w:t>.2投标报价有算术错误的，评标委员会按以下原则对投标报价进行修正，修正的价格经投标人书面确认后具有约束力。投标人不接受修正价格的，评标委员会应否决其投标。</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（1）投标文件中的大写金额与小写金额不一致的，以大写金额为准；</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（2）总价金额与依据单价计算出的结果不一致的，以单价金额为准修正总价，但单价金额小数点有明显错误的除外；</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（3）当单价与数量相乘不等于合价时，以单价计算为准，如果单价有明显的小数点位置差错，应以标出的合价为准，同时对单价予以修正</w:t>
      </w:r>
      <w:r>
        <w:rPr>
          <w:rFonts w:ascii="宋体" w:hAnsi="宋体" w:eastAsia="宋体" w:cs="宋体"/>
          <w:b/>
          <w:bCs/>
          <w:color w:val="auto"/>
          <w:sz w:val="24"/>
        </w:rPr>
        <w:t>；</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（4）当各子目的合价累计不等于总价时，应以各子目合价累计数为准，修正总</w:t>
      </w:r>
      <w:r>
        <w:rPr>
          <w:rFonts w:hint="eastAsia" w:ascii="宋体" w:hAnsi="宋体" w:eastAsia="宋体" w:cs="宋体"/>
          <w:color w:val="auto"/>
          <w:sz w:val="24"/>
        </w:rPr>
        <w:t>价。</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lang w:val="en-US" w:eastAsia="zh-CN"/>
        </w:rPr>
        <w:t>4</w:t>
      </w:r>
      <w:r>
        <w:rPr>
          <w:rFonts w:ascii="宋体" w:hAnsi="宋体" w:eastAsia="宋体" w:cs="宋体"/>
          <w:color w:val="auto"/>
          <w:sz w:val="24"/>
        </w:rPr>
        <w:t>.3工程量清单中的投标报价有其他错误的，评标委员会按以下原则对投标报价进行修正，修正的价格经投标人书面确认后具有约束力。投标人不接受修正价格的，评标委员会应否决其投标。</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1）在招标人给定的工程量清单中漏报了某个工程子目的单价、合价或总额价，或所报单价、合价或总额价减少了报价范围，则漏报的工程子目单价、合价和总额价或单价、合价和总额价中减少的报价内容视为已含入其他工程子目的单价、合价</w:t>
      </w:r>
      <w:r>
        <w:rPr>
          <w:rFonts w:hint="eastAsia" w:ascii="宋体" w:hAnsi="宋体" w:eastAsia="宋体" w:cs="宋体"/>
          <w:color w:val="auto"/>
          <w:sz w:val="24"/>
        </w:rPr>
        <w:t>和总额价之中。</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2）在招标人给定的工程量清单中多报了某个工程子目的单价、合价或总额价，或所报单价、合价或总额价增加了报价范围，则从投标报价中扣除多报的工程子目报价或工程子目报价中增加了报价范围的部分报价。</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（3）当单价与数量的乘积与合价（金额）虽然一致，但投标人修改了该子目的工程数量，则其合价按招标人给定的工程数量乘以投标人所报单价予以修正。</w:t>
      </w:r>
    </w:p>
    <w:p>
      <w:pPr>
        <w:spacing w:line="360" w:lineRule="auto"/>
        <w:ind w:firstLine="480" w:firstLineChars="200"/>
        <w:rPr>
          <w:rFonts w:ascii="宋体" w:hAnsi="宋体" w:eastAsia="宋体" w:cs="宋体"/>
          <w:color w:val="auto"/>
          <w:sz w:val="24"/>
        </w:rPr>
      </w:pPr>
      <w:r>
        <w:rPr>
          <w:rFonts w:ascii="宋体" w:hAnsi="宋体" w:eastAsia="宋体" w:cs="宋体"/>
          <w:color w:val="auto"/>
          <w:sz w:val="24"/>
        </w:rPr>
        <w:t>3.</w:t>
      </w:r>
      <w:r>
        <w:rPr>
          <w:rFonts w:hint="eastAsia" w:ascii="宋体" w:hAnsi="宋体" w:eastAsia="宋体" w:cs="宋体"/>
          <w:color w:val="auto"/>
          <w:sz w:val="24"/>
          <w:lang w:val="en-US" w:eastAsia="zh-CN"/>
        </w:rPr>
        <w:t>4</w:t>
      </w:r>
      <w:r>
        <w:rPr>
          <w:rFonts w:ascii="宋体" w:hAnsi="宋体" w:eastAsia="宋体" w:cs="宋体"/>
          <w:color w:val="auto"/>
          <w:sz w:val="24"/>
        </w:rPr>
        <w:t>.4修正后的最终投标报价若超过最高投标限价，评标委员会应否决其投标。</w:t>
      </w:r>
    </w:p>
    <w:p>
      <w:pPr>
        <w:spacing w:line="276" w:lineRule="exact"/>
        <w:rPr>
          <w:rFonts w:ascii="Times New Roman" w:hAnsi="Times New Roman" w:eastAsia="Times New Roman"/>
          <w:color w:val="auto"/>
        </w:rPr>
      </w:pPr>
    </w:p>
    <w:p>
      <w:pPr>
        <w:spacing w:line="360" w:lineRule="auto"/>
        <w:rPr>
          <w:rFonts w:ascii="宋体" w:hAnsi="宋体" w:eastAsia="宋体" w:cs="宋体"/>
          <w:b/>
          <w:bCs/>
          <w:color w:val="auto"/>
          <w:sz w:val="24"/>
        </w:rPr>
      </w:pPr>
      <w:r>
        <w:rPr>
          <w:rFonts w:ascii="宋体" w:hAnsi="宋体" w:eastAsia="宋体" w:cs="宋体"/>
          <w:b/>
          <w:bCs/>
          <w:color w:val="auto"/>
          <w:sz w:val="24"/>
        </w:rPr>
        <w:t>3.</w:t>
      </w:r>
      <w:r>
        <w:rPr>
          <w:rFonts w:hint="eastAsia" w:ascii="宋体" w:hAnsi="宋体" w:eastAsia="宋体" w:cs="宋体"/>
          <w:b/>
          <w:bCs/>
          <w:color w:val="auto"/>
          <w:sz w:val="24"/>
          <w:lang w:val="en-US" w:eastAsia="zh-CN"/>
        </w:rPr>
        <w:t>5</w:t>
      </w:r>
      <w:r>
        <w:rPr>
          <w:rFonts w:ascii="宋体" w:hAnsi="宋体" w:eastAsia="宋体" w:cs="宋体"/>
          <w:b/>
          <w:bCs/>
          <w:color w:val="auto"/>
          <w:sz w:val="24"/>
        </w:rPr>
        <w:t>第二个信封详细评审</w:t>
      </w:r>
    </w:p>
    <w:p>
      <w:pPr>
        <w:spacing w:line="360" w:lineRule="auto"/>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3.5.1评标委员会按本章第2.2.4(3)目规定的评审因素和分值对评标价计算出得分C。评标价得分分值计算保留小数点后两位，小数点后第三位“四舍五入”。</w:t>
      </w:r>
    </w:p>
    <w:p>
      <w:pPr>
        <w:spacing w:line="360" w:lineRule="auto"/>
        <w:ind w:firstLine="480" w:firstLineChars="200"/>
        <w:rPr>
          <w:rFonts w:ascii="宋体" w:hAnsi="宋体" w:eastAsia="宋体" w:cs="宋体"/>
          <w:color w:val="auto"/>
          <w:sz w:val="24"/>
        </w:rPr>
      </w:pPr>
      <w:r>
        <w:rPr>
          <w:rFonts w:hint="eastAsia" w:ascii="宋体" w:hAnsi="宋体" w:eastAsia="宋体" w:cs="宋体"/>
          <w:color w:val="auto"/>
          <w:sz w:val="24"/>
          <w:lang w:val="en-US" w:eastAsia="zh-CN"/>
        </w:rPr>
        <w:t>3.5.2投标人综合得分=投标人的商务和技术得分+C。</w:t>
      </w:r>
    </w:p>
    <w:p>
      <w:pPr>
        <w:spacing w:line="360" w:lineRule="auto"/>
        <w:ind w:firstLine="480" w:firstLineChars="200"/>
        <w:rPr>
          <w:rFonts w:ascii="Times New Roman" w:hAnsi="Times New Roman" w:eastAsia="Times New Roman"/>
          <w:color w:val="auto"/>
        </w:rPr>
      </w:pPr>
      <w:r>
        <w:rPr>
          <w:rFonts w:hint="eastAsia" w:ascii="宋体" w:hAnsi="宋体" w:eastAsia="宋体" w:cs="宋体"/>
          <w:color w:val="auto"/>
          <w:sz w:val="24"/>
          <w:lang w:val="en-US" w:eastAsia="zh-CN"/>
        </w:rPr>
        <w:t>3.5.3评标委员会发现投标人的报价明显低于其他投标报价，使得其投标报价可能低于其个别成本的，应要求该投标人作出书面说明并提供相应的证明材料。投标人不能合理说明或不能提供相应证明材料的，评标委员会应认定该投标人以低于成本报价竞标，并否决其投标。</w:t>
      </w:r>
    </w:p>
    <w:p>
      <w:pPr>
        <w:spacing w:line="360" w:lineRule="auto"/>
        <w:ind w:right="146"/>
        <w:jc w:val="both"/>
        <w:rPr>
          <w:rFonts w:ascii="Times New Roman" w:hAnsi="Times New Roman" w:eastAsia="Times New Roman" w:cs="宋体"/>
          <w:b/>
          <w:bCs/>
          <w:color w:val="auto"/>
          <w:sz w:val="24"/>
        </w:rPr>
      </w:pPr>
      <w:r>
        <w:rPr>
          <w:rFonts w:ascii="Times New Roman" w:hAnsi="Times New Roman" w:eastAsia="Times New Roman" w:cs="宋体"/>
          <w:b/>
          <w:bCs/>
          <w:color w:val="auto"/>
          <w:sz w:val="24"/>
        </w:rPr>
        <w:t>3.</w:t>
      </w:r>
      <w:r>
        <w:rPr>
          <w:rFonts w:hint="eastAsia" w:ascii="Times New Roman" w:hAnsi="Times New Roman" w:eastAsia="Times New Roman" w:cs="宋体"/>
          <w:b/>
          <w:bCs/>
          <w:color w:val="auto"/>
          <w:sz w:val="24"/>
          <w:lang w:val="en-US" w:eastAsia="zh-CN"/>
        </w:rPr>
        <w:t>6</w:t>
      </w:r>
      <w:r>
        <w:rPr>
          <w:rFonts w:ascii="Times New Roman" w:hAnsi="Times New Roman" w:eastAsia="Times New Roman" w:cs="宋体"/>
          <w:b/>
          <w:bCs/>
          <w:color w:val="auto"/>
          <w:sz w:val="24"/>
        </w:rPr>
        <w:t>投标文件相关信息的核查</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Times New Roman" w:cs="宋体"/>
          <w:color w:val="auto"/>
          <w:sz w:val="24"/>
          <w:lang w:val="en-US" w:eastAsia="zh-CN"/>
        </w:rPr>
        <w:t>6</w:t>
      </w:r>
      <w:r>
        <w:rPr>
          <w:rFonts w:ascii="Times New Roman" w:hAnsi="Times New Roman" w:eastAsia="Times New Roman" w:cs="宋体"/>
          <w:color w:val="auto"/>
          <w:sz w:val="24"/>
        </w:rPr>
        <w:t>.1在评标过程中，评标委员会应查询交通运输主管部门</w:t>
      </w:r>
      <w:r>
        <w:rPr>
          <w:rFonts w:hint="eastAsia" w:ascii="Times New Roman" w:hAnsi="Times New Roman" w:eastAsia="宋体" w:cs="宋体"/>
          <w:color w:val="auto"/>
          <w:sz w:val="24"/>
          <w:lang w:eastAsia="zh-CN"/>
        </w:rPr>
        <w:t>“</w:t>
      </w:r>
      <w:r>
        <w:rPr>
          <w:rFonts w:ascii="Times New Roman" w:hAnsi="Times New Roman" w:eastAsia="Times New Roman" w:cs="宋体"/>
          <w:color w:val="auto"/>
          <w:sz w:val="24"/>
        </w:rPr>
        <w:t>公路建设市场信用信息管理系统</w:t>
      </w:r>
      <w:r>
        <w:rPr>
          <w:rFonts w:hint="eastAsia" w:ascii="Times New Roman" w:hAnsi="Times New Roman" w:eastAsia="宋体" w:cs="宋体"/>
          <w:color w:val="auto"/>
          <w:sz w:val="24"/>
          <w:lang w:eastAsia="zh-CN"/>
        </w:rPr>
        <w:t>”，</w:t>
      </w:r>
      <w:r>
        <w:rPr>
          <w:rFonts w:ascii="Times New Roman" w:hAnsi="Times New Roman" w:eastAsia="Times New Roman" w:cs="宋体"/>
          <w:color w:val="auto"/>
          <w:sz w:val="24"/>
        </w:rPr>
        <w:t>对投标人的资质</w:t>
      </w:r>
      <w:r>
        <w:rPr>
          <w:rFonts w:hint="eastAsia" w:ascii="Times New Roman" w:hAnsi="Times New Roman" w:eastAsia="宋体" w:cs="宋体"/>
          <w:color w:val="auto"/>
          <w:sz w:val="24"/>
          <w:lang w:eastAsia="zh-CN"/>
        </w:rPr>
        <w:t>、</w:t>
      </w:r>
      <w:r>
        <w:rPr>
          <w:rFonts w:hint="eastAsia" w:ascii="Times New Roman" w:hAnsi="Times New Roman" w:eastAsia="宋体" w:cs="宋体"/>
          <w:color w:val="auto"/>
          <w:sz w:val="24"/>
          <w:lang w:val="en-US" w:eastAsia="zh-CN"/>
        </w:rPr>
        <w:t>主要人员资历和目前在岗情况、信用等级等信息</w:t>
      </w:r>
      <w:r>
        <w:rPr>
          <w:rFonts w:ascii="Times New Roman" w:hAnsi="Times New Roman" w:eastAsia="Times New Roman" w:cs="宋体"/>
          <w:color w:val="auto"/>
          <w:sz w:val="24"/>
        </w:rPr>
        <w:t>进行核实。若投标文件载明的信息与交通运输主管部门</w:t>
      </w:r>
      <w:r>
        <w:rPr>
          <w:rFonts w:hint="eastAsia" w:ascii="Times New Roman" w:hAnsi="Times New Roman" w:eastAsia="宋体" w:cs="宋体"/>
          <w:color w:val="auto"/>
          <w:sz w:val="24"/>
          <w:lang w:eastAsia="zh-CN"/>
        </w:rPr>
        <w:t>“</w:t>
      </w:r>
      <w:r>
        <w:rPr>
          <w:rFonts w:ascii="Times New Roman" w:hAnsi="Times New Roman" w:eastAsia="Times New Roman" w:cs="宋体"/>
          <w:color w:val="auto"/>
          <w:sz w:val="24"/>
        </w:rPr>
        <w:t>公路建设市场信用信息管理系统</w:t>
      </w:r>
      <w:r>
        <w:rPr>
          <w:rFonts w:hint="eastAsia" w:ascii="Times New Roman" w:hAnsi="Times New Roman" w:eastAsia="宋体" w:cs="宋体"/>
          <w:color w:val="auto"/>
          <w:sz w:val="24"/>
          <w:lang w:eastAsia="zh-CN"/>
        </w:rPr>
        <w:t>”</w:t>
      </w:r>
      <w:r>
        <w:rPr>
          <w:rFonts w:ascii="Times New Roman" w:hAnsi="Times New Roman" w:eastAsia="Times New Roman" w:cs="宋体"/>
          <w:color w:val="auto"/>
          <w:sz w:val="24"/>
        </w:rPr>
        <w:t>发布的信息不符，使得投标人的资格条件不符合招标文件规定的，评标委员会应否决其投标。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Times New Roman" w:cs="宋体"/>
          <w:color w:val="auto"/>
          <w:sz w:val="24"/>
          <w:lang w:val="en-US" w:eastAsia="zh-CN"/>
        </w:rPr>
        <w:t>6</w:t>
      </w:r>
      <w:r>
        <w:rPr>
          <w:rFonts w:ascii="Times New Roman" w:hAnsi="Times New Roman" w:eastAsia="Times New Roman" w:cs="宋体"/>
          <w:color w:val="auto"/>
          <w:sz w:val="24"/>
        </w:rPr>
        <w:t>.2评标委员会应对在评标过程中发现的投标人与投标人之间、投标人与招标人之间存在的串通投标的情形进行评审和认定。投标人存在串通投标、弄虚作假、行贿等违法行为的，评标委员会应否决其投标。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（1）有下列情形之一的，属于投标人相互串通投标：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a.投标人之间协商投标报价等投标文件的实质性内容；</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b.投标人之间约定中标人；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c.投标人之间约定部分投标人放弃投标或中标；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d.属于同一集团、协会、商会等组织成员的投标人按照该组织要求协同投标；</w:t>
      </w:r>
    </w:p>
    <w:p>
      <w:pPr>
        <w:spacing w:line="360" w:lineRule="auto"/>
        <w:ind w:right="146" w:firstLine="480" w:firstLineChars="200"/>
        <w:jc w:val="both"/>
        <w:rPr>
          <w:rFonts w:ascii="Times New Roman" w:hAnsi="Times New Roman" w:eastAsia="Times New Roman" w:cs="宋体"/>
          <w:color w:val="auto"/>
          <w:sz w:val="24"/>
        </w:rPr>
      </w:pPr>
      <w:bookmarkStart w:id="6" w:name="page86"/>
      <w:bookmarkEnd w:id="6"/>
      <w:r>
        <w:rPr>
          <w:rFonts w:ascii="Times New Roman" w:hAnsi="Times New Roman" w:eastAsia="Times New Roman" w:cs="宋体"/>
          <w:color w:val="auto"/>
          <w:sz w:val="24"/>
        </w:rPr>
        <w:t>e.投标人之间为谋取中标或排斥特定投标人而采取的其他联合行动。</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（2）有下列情形之一的，视为投标人相互串通投标：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a.不同投标人的投标文件由同一单位或个人编制；</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b.不同投标人委托同一单位或个人办理投标事宜；</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c.不同投标人的投标文件载明的项目管理成员为同一人；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d.不同投标人的投标文件异常一致或投标报价呈规律性差异；</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e.不同投标人的投标文件相互混装；</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f.不同投标人的投标保证金从同一单位或个人的账户转出。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（3）有下列情形之一的，属于招标人与投标人串通投标：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a.招标人在开标前开启投标文件并将有关信息泄露给其他投标人;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b.招标人直接或间接向投标人泄露标底、评标委员会成员等信息；</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c.招标人明示或暗示投标人压低或抬高投标报价；</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d.招标人授意投标人撤换、修改投标文件；</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e.招标人明示或暗示投标人为特定投标人中标提供方便；</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f.招标人与投标人为谋求特定投标人中标而采取的其他串通行为。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（4）投标人有下列情形之一的，属于弄虚作假的行为：</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a.使用通过受让或租借等方式获取的资格、资质证书投标；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b.使用伪造、变造的许可证件；</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c.提供虚假的财务状况或业绩；</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d.提供虚假的项目负责人或主要技术人员简历、劳动关系证明；</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e.提供虚假的信用状况；</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f.其他弄虚作假的行为。</w:t>
      </w:r>
    </w:p>
    <w:p>
      <w:pPr>
        <w:spacing w:line="274" w:lineRule="exact"/>
        <w:ind w:left="200"/>
        <w:rPr>
          <w:rFonts w:ascii="黑体" w:hAnsi="黑体" w:eastAsia="黑体"/>
          <w:color w:val="auto"/>
          <w:sz w:val="24"/>
        </w:rPr>
      </w:pPr>
    </w:p>
    <w:p>
      <w:pPr>
        <w:spacing w:line="360" w:lineRule="auto"/>
        <w:ind w:right="146"/>
        <w:jc w:val="both"/>
        <w:rPr>
          <w:rFonts w:hint="eastAsia" w:ascii="Times New Roman" w:hAnsi="Times New Roman" w:eastAsia="Times New Roman" w:cs="宋体"/>
          <w:b/>
          <w:bCs/>
          <w:color w:val="auto"/>
          <w:sz w:val="24"/>
        </w:rPr>
      </w:pPr>
      <w:r>
        <w:rPr>
          <w:rFonts w:hint="eastAsia" w:ascii="Times New Roman" w:hAnsi="Times New Roman" w:eastAsia="Times New Roman" w:cs="宋体"/>
          <w:b/>
          <w:bCs/>
          <w:color w:val="auto"/>
          <w:sz w:val="24"/>
        </w:rPr>
        <w:t>3</w:t>
      </w:r>
      <w:r>
        <w:rPr>
          <w:rFonts w:hint="eastAsia" w:ascii="Times New Roman" w:hAnsi="Times New Roman" w:eastAsia="宋体" w:cs="宋体"/>
          <w:b/>
          <w:bCs/>
          <w:color w:val="auto"/>
          <w:sz w:val="24"/>
          <w:lang w:val="en-US" w:eastAsia="zh-CN"/>
        </w:rPr>
        <w:t>.7</w:t>
      </w:r>
      <w:r>
        <w:rPr>
          <w:rFonts w:hint="eastAsia" w:ascii="Times New Roman" w:hAnsi="Times New Roman" w:eastAsia="Times New Roman" w:cs="宋体"/>
          <w:b/>
          <w:bCs/>
          <w:color w:val="auto"/>
          <w:sz w:val="24"/>
        </w:rPr>
        <w:t>投标文件的澄清和说明</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Times New Roman" w:cs="宋体"/>
          <w:color w:val="auto"/>
          <w:sz w:val="24"/>
          <w:lang w:val="en-US" w:eastAsia="zh-CN"/>
        </w:rPr>
        <w:t>7</w:t>
      </w:r>
      <w:r>
        <w:rPr>
          <w:rFonts w:ascii="Times New Roman" w:hAnsi="Times New Roman" w:eastAsia="Times New Roman" w:cs="宋体"/>
          <w:color w:val="auto"/>
          <w:sz w:val="24"/>
        </w:rPr>
        <w:t>.1在评标过程中，评标委员会可以书面形式要求投标人对投标文件中含义不明确的内容、明显文字或计算错误进行书面澄清或说明。评标委员会不接受投标人主动提出的澄清、说明。投标人不按评标委员会要求澄清或说明的，评标委员会应否决其投标。</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宋体" w:cs="宋体"/>
          <w:color w:val="auto"/>
          <w:sz w:val="24"/>
          <w:lang w:val="en-US" w:eastAsia="zh-CN"/>
        </w:rPr>
        <w:t>7.</w:t>
      </w:r>
      <w:r>
        <w:rPr>
          <w:rFonts w:ascii="Times New Roman" w:hAnsi="Times New Roman" w:eastAsia="Times New Roman" w:cs="宋体"/>
          <w:color w:val="auto"/>
          <w:sz w:val="24"/>
        </w:rPr>
        <w:t>2澄清和说明不得超出投标文件的范围或改变投标文件的实质性内容（算术</w:t>
      </w:r>
      <w:r>
        <w:rPr>
          <w:rFonts w:hint="eastAsia" w:ascii="Times New Roman" w:hAnsi="Times New Roman" w:eastAsia="Times New Roman" w:cs="宋体"/>
          <w:color w:val="auto"/>
          <w:sz w:val="24"/>
        </w:rPr>
        <w:t>性错误</w:t>
      </w:r>
      <w:r>
        <w:rPr>
          <w:rFonts w:ascii="Times New Roman" w:hAnsi="Times New Roman" w:eastAsia="Times New Roman" w:cs="宋体"/>
          <w:color w:val="auto"/>
          <w:sz w:val="24"/>
        </w:rPr>
        <w:t>的修正除外）。投标人的书面澄清、说明属于投标文件的组成部分。</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宋体" w:cs="宋体"/>
          <w:color w:val="auto"/>
          <w:sz w:val="24"/>
          <w:lang w:val="en-US" w:eastAsia="zh-CN"/>
        </w:rPr>
        <w:t>7</w:t>
      </w:r>
      <w:r>
        <w:rPr>
          <w:rFonts w:ascii="Times New Roman" w:hAnsi="Times New Roman" w:eastAsia="Times New Roman" w:cs="宋体"/>
          <w:color w:val="auto"/>
          <w:sz w:val="24"/>
        </w:rPr>
        <w:t>.3评标委员会不得暗示或诱导投标人作出澄清、说明，对投标人提交的澄清、</w:t>
      </w:r>
      <w:r>
        <w:rPr>
          <w:rFonts w:hint="eastAsia" w:ascii="Times New Roman" w:hAnsi="Times New Roman" w:eastAsia="Times New Roman" w:cs="宋体"/>
          <w:color w:val="auto"/>
          <w:sz w:val="24"/>
        </w:rPr>
        <w:t>说明有</w:t>
      </w:r>
      <w:r>
        <w:rPr>
          <w:rFonts w:ascii="Times New Roman" w:hAnsi="Times New Roman" w:eastAsia="Times New Roman" w:cs="宋体"/>
          <w:color w:val="auto"/>
          <w:sz w:val="24"/>
        </w:rPr>
        <w:t>疑问的，可以要求投标人进一步澄清或说明，直至满足评标委员会的要求。</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宋体" w:cs="宋体"/>
          <w:color w:val="auto"/>
          <w:sz w:val="24"/>
          <w:lang w:val="en-US" w:eastAsia="zh-CN"/>
        </w:rPr>
        <w:t>7</w:t>
      </w:r>
      <w:r>
        <w:rPr>
          <w:rFonts w:ascii="Times New Roman" w:hAnsi="Times New Roman" w:eastAsia="Times New Roman" w:cs="宋体"/>
          <w:color w:val="auto"/>
          <w:sz w:val="24"/>
        </w:rPr>
        <w:t>.4凡超出招标文件规定的或给发包人带来未曾要求的利益的变化、偏差或其</w:t>
      </w:r>
      <w:r>
        <w:rPr>
          <w:rFonts w:hint="eastAsia" w:ascii="Times New Roman" w:hAnsi="Times New Roman" w:eastAsia="Times New Roman" w:cs="宋体"/>
          <w:color w:val="auto"/>
          <w:sz w:val="24"/>
        </w:rPr>
        <w:t>他因素</w:t>
      </w:r>
      <w:r>
        <w:rPr>
          <w:rFonts w:ascii="Times New Roman" w:hAnsi="Times New Roman" w:eastAsia="Times New Roman" w:cs="宋体"/>
          <w:color w:val="auto"/>
          <w:sz w:val="24"/>
        </w:rPr>
        <w:t>在评标时不予考虑。</w:t>
      </w:r>
    </w:p>
    <w:p>
      <w:pPr>
        <w:spacing w:line="274" w:lineRule="exact"/>
        <w:ind w:left="200"/>
        <w:rPr>
          <w:rFonts w:ascii="黑体" w:hAnsi="黑体" w:eastAsia="黑体"/>
          <w:color w:val="auto"/>
          <w:sz w:val="24"/>
        </w:rPr>
      </w:pPr>
      <w:bookmarkStart w:id="7" w:name="page87"/>
      <w:bookmarkEnd w:id="7"/>
    </w:p>
    <w:p>
      <w:pPr>
        <w:spacing w:line="360" w:lineRule="auto"/>
        <w:ind w:right="146"/>
        <w:jc w:val="both"/>
        <w:rPr>
          <w:rFonts w:ascii="Times New Roman" w:hAnsi="Times New Roman" w:eastAsia="Times New Roman" w:cs="宋体"/>
          <w:b/>
          <w:bCs/>
          <w:color w:val="auto"/>
          <w:sz w:val="24"/>
        </w:rPr>
      </w:pPr>
      <w:r>
        <w:rPr>
          <w:rFonts w:ascii="Times New Roman" w:hAnsi="Times New Roman" w:eastAsia="Times New Roman" w:cs="宋体"/>
          <w:b/>
          <w:bCs/>
          <w:color w:val="auto"/>
          <w:sz w:val="24"/>
        </w:rPr>
        <w:t>3.</w:t>
      </w:r>
      <w:r>
        <w:rPr>
          <w:rFonts w:hint="eastAsia" w:ascii="Times New Roman" w:hAnsi="Times New Roman" w:eastAsia="Times New Roman" w:cs="宋体"/>
          <w:b/>
          <w:bCs/>
          <w:color w:val="auto"/>
          <w:sz w:val="24"/>
          <w:lang w:val="en-US" w:eastAsia="zh-CN"/>
        </w:rPr>
        <w:t>8</w:t>
      </w:r>
      <w:r>
        <w:rPr>
          <w:rFonts w:ascii="Times New Roman" w:hAnsi="Times New Roman" w:eastAsia="Times New Roman" w:cs="宋体"/>
          <w:b/>
          <w:bCs/>
          <w:color w:val="auto"/>
          <w:sz w:val="24"/>
        </w:rPr>
        <w:t>不得否决投标的情形</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投标文件存在第二章“投标人须知”第1.12.3项所列情形的，均视为细微偏差，评标委员会不得否决投标人的投标，应按照第二章“投标人须知”第1.12.4项规定的原则处理。</w:t>
      </w:r>
    </w:p>
    <w:p>
      <w:pPr>
        <w:spacing w:line="360" w:lineRule="auto"/>
        <w:ind w:right="146" w:firstLine="480" w:firstLineChars="200"/>
        <w:jc w:val="both"/>
        <w:rPr>
          <w:rFonts w:ascii="Times New Roman" w:hAnsi="Times New Roman" w:eastAsia="Times New Roman" w:cs="宋体"/>
          <w:color w:val="auto"/>
          <w:sz w:val="24"/>
        </w:rPr>
      </w:pPr>
    </w:p>
    <w:p>
      <w:pPr>
        <w:spacing w:line="360" w:lineRule="auto"/>
        <w:ind w:right="146"/>
        <w:jc w:val="left"/>
        <w:rPr>
          <w:rFonts w:ascii="Times New Roman" w:hAnsi="Times New Roman" w:eastAsia="Times New Roman" w:cs="宋体"/>
          <w:color w:val="auto"/>
          <w:sz w:val="24"/>
        </w:rPr>
      </w:pPr>
      <w:r>
        <w:rPr>
          <w:rFonts w:ascii="Times New Roman" w:hAnsi="Times New Roman" w:eastAsia="Times New Roman" w:cs="宋体"/>
          <w:b/>
          <w:bCs/>
          <w:color w:val="auto"/>
          <w:sz w:val="24"/>
        </w:rPr>
        <w:t>3.</w:t>
      </w:r>
      <w:r>
        <w:rPr>
          <w:rFonts w:hint="eastAsia" w:ascii="Times New Roman" w:hAnsi="Times New Roman" w:eastAsia="宋体" w:cs="宋体"/>
          <w:b/>
          <w:bCs/>
          <w:color w:val="auto"/>
          <w:sz w:val="24"/>
          <w:lang w:val="en-US" w:eastAsia="zh-CN"/>
        </w:rPr>
        <w:t>9</w:t>
      </w:r>
      <w:r>
        <w:rPr>
          <w:rFonts w:ascii="Times New Roman" w:hAnsi="Times New Roman" w:eastAsia="Times New Roman" w:cs="宋体"/>
          <w:b/>
          <w:bCs/>
          <w:color w:val="auto"/>
          <w:sz w:val="24"/>
        </w:rPr>
        <w:t>评标结果</w:t>
      </w:r>
    </w:p>
    <w:p>
      <w:pPr>
        <w:spacing w:line="360" w:lineRule="auto"/>
        <w:ind w:right="146" w:firstLine="480" w:firstLineChars="200"/>
        <w:jc w:val="both"/>
        <w:rPr>
          <w:rFonts w:ascii="Times New Roman" w:hAnsi="Times New Roman" w:eastAsia="Times New Roman" w:cs="宋体"/>
          <w:b/>
          <w:bCs/>
          <w:color w:val="auto"/>
          <w:sz w:val="24"/>
        </w:rPr>
      </w:pPr>
      <w:r>
        <w:rPr>
          <w:rFonts w:ascii="Times New Roman" w:hAnsi="Times New Roman" w:eastAsia="Times New Roman" w:cs="宋体"/>
          <w:color w:val="auto"/>
          <w:sz w:val="24"/>
        </w:rPr>
        <w:t>3.</w:t>
      </w:r>
      <w:r>
        <w:rPr>
          <w:rFonts w:hint="eastAsia" w:ascii="Times New Roman" w:hAnsi="Times New Roman" w:eastAsia="宋体" w:cs="宋体"/>
          <w:color w:val="auto"/>
          <w:sz w:val="24"/>
          <w:lang w:val="en-US" w:eastAsia="zh-CN"/>
        </w:rPr>
        <w:t>9</w:t>
      </w:r>
      <w:r>
        <w:rPr>
          <w:rFonts w:ascii="Times New Roman" w:hAnsi="Times New Roman" w:eastAsia="Times New Roman" w:cs="宋体"/>
          <w:color w:val="auto"/>
          <w:sz w:val="24"/>
        </w:rPr>
        <w:t>.1</w:t>
      </w:r>
      <w:r>
        <w:rPr>
          <w:rFonts w:hint="eastAsia" w:ascii="Times New Roman" w:hAnsi="Times New Roman" w:eastAsia="Times New Roman" w:cs="宋体"/>
          <w:b/>
          <w:bCs/>
          <w:color w:val="auto"/>
          <w:sz w:val="24"/>
          <w:lang w:val="en-US" w:eastAsia="zh-CN"/>
        </w:rPr>
        <w:t>除第二章“投标人须知”前附表授权直接确定中标人外，评标委员会按照得分由高到低的顺序推荐中标候选人，并标明排序。</w:t>
      </w:r>
    </w:p>
    <w:p>
      <w:pPr>
        <w:spacing w:line="360" w:lineRule="auto"/>
        <w:ind w:right="146" w:firstLine="480" w:firstLineChars="200"/>
        <w:jc w:val="both"/>
        <w:rPr>
          <w:rFonts w:ascii="Times New Roman" w:hAnsi="Times New Roman" w:eastAsia="Times New Roman" w:cs="宋体"/>
          <w:color w:val="auto"/>
          <w:sz w:val="24"/>
        </w:rPr>
      </w:pPr>
      <w:r>
        <w:rPr>
          <w:rFonts w:ascii="Times New Roman" w:hAnsi="Times New Roman" w:eastAsia="Times New Roman" w:cs="宋体"/>
          <w:color w:val="auto"/>
          <w:sz w:val="24"/>
        </w:rPr>
        <w:t>3.</w:t>
      </w:r>
      <w:r>
        <w:rPr>
          <w:rFonts w:hint="eastAsia" w:ascii="Times New Roman" w:hAnsi="Times New Roman" w:eastAsia="宋体" w:cs="宋体"/>
          <w:color w:val="auto"/>
          <w:sz w:val="24"/>
          <w:lang w:val="en-US" w:eastAsia="zh-CN"/>
        </w:rPr>
        <w:t>9</w:t>
      </w:r>
      <w:r>
        <w:rPr>
          <w:rFonts w:ascii="Times New Roman" w:hAnsi="Times New Roman" w:eastAsia="Times New Roman" w:cs="宋体"/>
          <w:color w:val="auto"/>
          <w:sz w:val="24"/>
        </w:rPr>
        <w:t>.2评标委员会完成评标后，应向招标人提交书面评标报告。</w:t>
      </w:r>
    </w:p>
    <w:p>
      <w:pPr>
        <w:spacing w:line="200" w:lineRule="exact"/>
        <w:rPr>
          <w:rFonts w:ascii="Times New Roman" w:hAnsi="Times New Roman" w:eastAsia="Times New Roman"/>
          <w:color w:val="auto"/>
        </w:rPr>
      </w:pPr>
    </w:p>
    <w:p>
      <w:pPr>
        <w:spacing w:line="200" w:lineRule="exact"/>
        <w:rPr>
          <w:rFonts w:ascii="Times New Roman" w:hAnsi="Times New Roman" w:eastAsia="Times New Roman"/>
          <w:color w:val="auto"/>
        </w:rPr>
      </w:pPr>
    </w:p>
    <w:p>
      <w:pPr>
        <w:spacing w:line="200" w:lineRule="exact"/>
        <w:rPr>
          <w:rFonts w:ascii="Times New Roman" w:hAnsi="Times New Roman" w:eastAsia="Times New Roman"/>
          <w:color w:val="auto"/>
        </w:rPr>
      </w:pPr>
    </w:p>
    <w:p>
      <w:pPr>
        <w:rPr>
          <w:color w:val="auto"/>
          <w:sz w:val="24"/>
        </w:rPr>
        <w:sectPr>
          <w:headerReference r:id="rId17" w:type="default"/>
          <w:footerReference r:id="rId18" w:type="default"/>
          <w:pgSz w:w="11911" w:h="16838"/>
          <w:pgMar w:top="1247" w:right="1134" w:bottom="1247" w:left="1134" w:header="850"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0"/>
        <w:rPr>
          <w:color w:val="auto"/>
          <w:sz w:val="28"/>
        </w:rPr>
      </w:pPr>
    </w:p>
    <w:p>
      <w:pPr>
        <w:pStyle w:val="3"/>
        <w:tabs>
          <w:tab w:val="left" w:pos="4088"/>
        </w:tabs>
        <w:ind w:left="0"/>
        <w:jc w:val="center"/>
        <w:rPr>
          <w:b/>
          <w:bCs/>
          <w:color w:val="auto"/>
          <w:sz w:val="44"/>
          <w:szCs w:val="44"/>
        </w:rPr>
        <w:sectPr>
          <w:headerReference r:id="rId19" w:type="default"/>
          <w:footerReference r:id="rId20" w:type="default"/>
          <w:pgSz w:w="11911" w:h="16838"/>
          <w:pgMar w:top="1247" w:right="1134" w:bottom="1247" w:left="1134" w:header="737" w:footer="850" w:gutter="0"/>
          <w:pgNumType w:fmt="numberInDash"/>
          <w:cols w:space="0" w:num="1"/>
          <w:rtlGutter w:val="0"/>
          <w:docGrid w:linePitch="0" w:charSpace="0"/>
        </w:sectPr>
      </w:pPr>
      <w:r>
        <w:rPr>
          <w:b/>
          <w:bCs/>
          <w:color w:val="auto"/>
          <w:sz w:val="44"/>
          <w:szCs w:val="44"/>
        </w:rPr>
        <w:t>第四章合同条款及格式</w:t>
      </w:r>
    </w:p>
    <w:p>
      <w:pPr>
        <w:pStyle w:val="6"/>
        <w:tabs>
          <w:tab w:val="left" w:pos="1279"/>
        </w:tabs>
        <w:ind w:right="262"/>
        <w:jc w:val="both"/>
        <w:rPr>
          <w:color w:val="auto"/>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keepNext w:val="0"/>
        <w:keepLines w:val="0"/>
        <w:widowControl/>
        <w:suppressLineNumbers w:val="0"/>
        <w:jc w:val="center"/>
        <w:rPr>
          <w:b/>
          <w:bCs/>
          <w:color w:val="auto"/>
          <w:sz w:val="36"/>
          <w:szCs w:val="36"/>
        </w:rPr>
      </w:pPr>
    </w:p>
    <w:p>
      <w:pPr>
        <w:pStyle w:val="6"/>
        <w:tabs>
          <w:tab w:val="left" w:pos="1279"/>
        </w:tabs>
        <w:ind w:right="262"/>
        <w:rPr>
          <w:b/>
          <w:bCs/>
          <w:color w:val="auto"/>
          <w:sz w:val="40"/>
          <w:szCs w:val="40"/>
        </w:rPr>
      </w:pPr>
      <w:r>
        <w:rPr>
          <w:b/>
          <w:bCs/>
          <w:color w:val="auto"/>
          <w:sz w:val="40"/>
          <w:szCs w:val="40"/>
        </w:rPr>
        <w:t>第一节</w:t>
      </w:r>
      <w:r>
        <w:rPr>
          <w:b/>
          <w:bCs/>
          <w:color w:val="auto"/>
          <w:sz w:val="40"/>
          <w:szCs w:val="40"/>
        </w:rPr>
        <w:tab/>
      </w:r>
      <w:r>
        <w:rPr>
          <w:b/>
          <w:bCs/>
          <w:color w:val="auto"/>
          <w:sz w:val="40"/>
          <w:szCs w:val="40"/>
        </w:rPr>
        <w:t>通用合同条款</w:t>
      </w:r>
    </w:p>
    <w:p>
      <w:pPr>
        <w:pStyle w:val="13"/>
        <w:rPr>
          <w:color w:val="auto"/>
          <w:sz w:val="32"/>
        </w:rPr>
      </w:pPr>
    </w:p>
    <w:p>
      <w:pPr>
        <w:pStyle w:val="13"/>
        <w:spacing w:before="4"/>
        <w:rPr>
          <w:color w:val="auto"/>
          <w:sz w:val="45"/>
        </w:rPr>
      </w:pPr>
    </w:p>
    <w:p>
      <w:pPr>
        <w:pStyle w:val="9"/>
        <w:spacing w:before="0"/>
        <w:ind w:left="458" w:right="720"/>
        <w:jc w:val="center"/>
        <w:rPr>
          <w:color w:val="auto"/>
        </w:rPr>
      </w:pPr>
      <w:r>
        <w:rPr>
          <w:color w:val="auto"/>
        </w:rPr>
        <w:t>详见</w:t>
      </w:r>
      <w:r>
        <w:rPr>
          <w:rFonts w:hint="eastAsia"/>
          <w:color w:val="auto"/>
          <w:lang w:eastAsia="zh-CN"/>
        </w:rPr>
        <w:t>《</w:t>
      </w:r>
      <w:r>
        <w:rPr>
          <w:color w:val="auto"/>
        </w:rPr>
        <w:t>标准施工招标文件</w:t>
      </w:r>
      <w:r>
        <w:rPr>
          <w:rFonts w:hint="eastAsia"/>
          <w:color w:val="auto"/>
          <w:lang w:eastAsia="zh-CN"/>
        </w:rPr>
        <w:t>》</w:t>
      </w:r>
      <w:r>
        <w:rPr>
          <w:color w:val="auto"/>
        </w:rPr>
        <w:t>（2007版）的通用合同条款内容。</w:t>
      </w:r>
    </w:p>
    <w:p>
      <w:pPr>
        <w:jc w:val="center"/>
        <w:rPr>
          <w:color w:val="auto"/>
        </w:rPr>
        <w:sectPr>
          <w:footerReference r:id="rId21" w:type="default"/>
          <w:pgSz w:w="11911" w:h="16838"/>
          <w:pgMar w:top="1247" w:right="1094" w:bottom="1247" w:left="1134" w:header="737" w:footer="850" w:gutter="0"/>
          <w:pgNumType w:fmt="decimal"/>
          <w:cols w:space="720" w:num="1"/>
        </w:sectPr>
      </w:pPr>
    </w:p>
    <w:p>
      <w:pPr>
        <w:pStyle w:val="13"/>
        <w:rPr>
          <w:color w:val="auto"/>
          <w:sz w:val="20"/>
        </w:rPr>
      </w:pPr>
    </w:p>
    <w:p>
      <w:pPr>
        <w:pStyle w:val="13"/>
        <w:rPr>
          <w:color w:val="auto"/>
          <w:sz w:val="20"/>
        </w:rPr>
      </w:pPr>
    </w:p>
    <w:p>
      <w:pPr>
        <w:numPr>
          <w:ilvl w:val="0"/>
          <w:numId w:val="0"/>
        </w:numPr>
        <w:tabs>
          <w:tab w:val="left" w:pos="4963"/>
        </w:tabs>
        <w:spacing w:before="214"/>
        <w:jc w:val="center"/>
        <w:rPr>
          <w:b/>
          <w:bCs/>
          <w:color w:val="auto"/>
          <w:sz w:val="36"/>
          <w:szCs w:val="24"/>
        </w:rPr>
      </w:pPr>
      <w:r>
        <w:rPr>
          <w:rFonts w:hint="eastAsia"/>
          <w:b/>
          <w:bCs/>
          <w:color w:val="auto"/>
          <w:sz w:val="36"/>
          <w:szCs w:val="24"/>
          <w:lang w:val="en-US" w:eastAsia="zh-CN"/>
        </w:rPr>
        <w:t>第二节</w:t>
      </w:r>
      <w:r>
        <w:rPr>
          <w:b/>
          <w:bCs/>
          <w:color w:val="auto"/>
          <w:sz w:val="36"/>
          <w:szCs w:val="24"/>
        </w:rPr>
        <w:t>专用合同条款</w:t>
      </w:r>
    </w:p>
    <w:p>
      <w:pPr>
        <w:tabs>
          <w:tab w:val="left" w:pos="4963"/>
        </w:tabs>
        <w:spacing w:before="214"/>
        <w:ind w:left="3684"/>
        <w:rPr>
          <w:color w:val="auto"/>
          <w:sz w:val="32"/>
        </w:rPr>
      </w:pPr>
    </w:p>
    <w:p>
      <w:pPr>
        <w:spacing w:before="212"/>
        <w:ind w:left="438"/>
        <w:rPr>
          <w:color w:val="auto"/>
          <w:sz w:val="28"/>
        </w:rPr>
      </w:pPr>
      <w:r>
        <w:rPr>
          <w:color w:val="auto"/>
          <w:sz w:val="28"/>
        </w:rPr>
        <w:t>包括：</w:t>
      </w:r>
    </w:p>
    <w:p>
      <w:pPr>
        <w:pStyle w:val="31"/>
        <w:numPr>
          <w:ilvl w:val="0"/>
          <w:numId w:val="0"/>
        </w:numPr>
        <w:tabs>
          <w:tab w:val="left" w:pos="1418"/>
          <w:tab w:val="left" w:pos="1420"/>
        </w:tabs>
        <w:spacing w:before="186"/>
        <w:ind w:left="998" w:leftChars="0"/>
        <w:rPr>
          <w:color w:val="auto"/>
          <w:sz w:val="28"/>
        </w:rPr>
      </w:pPr>
      <w:r>
        <w:rPr>
          <w:rFonts w:hint="eastAsia"/>
          <w:color w:val="auto"/>
          <w:sz w:val="28"/>
          <w:lang w:val="en-US" w:eastAsia="zh-CN"/>
        </w:rPr>
        <w:t>A</w:t>
      </w:r>
      <w:r>
        <w:rPr>
          <w:color w:val="auto"/>
          <w:sz w:val="28"/>
        </w:rPr>
        <w:t>公路工程专用合同条款详见«公路工程标准施工招标文件»</w:t>
      </w:r>
    </w:p>
    <w:p>
      <w:pPr>
        <w:spacing w:before="186"/>
        <w:ind w:left="1278"/>
        <w:rPr>
          <w:color w:val="auto"/>
          <w:sz w:val="28"/>
        </w:rPr>
      </w:pPr>
      <w:r>
        <w:rPr>
          <w:color w:val="auto"/>
          <w:sz w:val="28"/>
        </w:rPr>
        <w:t>（2018版）的第四章第二节</w:t>
      </w:r>
    </w:p>
    <w:p>
      <w:pPr>
        <w:spacing w:before="186"/>
        <w:ind w:firstLine="1120" w:firstLineChars="400"/>
        <w:rPr>
          <w:color w:val="auto"/>
          <w:sz w:val="28"/>
        </w:rPr>
      </w:pPr>
      <w:r>
        <w:rPr>
          <w:rFonts w:hint="eastAsia"/>
          <w:color w:val="auto"/>
          <w:sz w:val="28"/>
          <w:lang w:val="en-US" w:eastAsia="zh-CN"/>
        </w:rPr>
        <w:t>B</w:t>
      </w:r>
      <w:r>
        <w:rPr>
          <w:color w:val="auto"/>
          <w:sz w:val="28"/>
        </w:rPr>
        <w:t>项目专用合同条款</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spacing w:before="60"/>
        <w:jc w:val="center"/>
        <w:rPr>
          <w:b/>
          <w:bCs/>
          <w:color w:val="auto"/>
          <w:sz w:val="32"/>
          <w:szCs w:val="32"/>
        </w:rPr>
      </w:pPr>
      <w:r>
        <w:rPr>
          <w:rFonts w:hint="eastAsia"/>
          <w:b/>
          <w:bCs/>
          <w:color w:val="auto"/>
          <w:sz w:val="32"/>
          <w:szCs w:val="32"/>
          <w:lang w:val="en-US" w:eastAsia="zh-CN"/>
        </w:rPr>
        <w:t>B、</w:t>
      </w:r>
      <w:r>
        <w:rPr>
          <w:b/>
          <w:bCs/>
          <w:color w:val="auto"/>
          <w:sz w:val="32"/>
          <w:szCs w:val="32"/>
        </w:rPr>
        <w:t>项目专用合同条款</w:t>
      </w:r>
    </w:p>
    <w:p>
      <w:pPr>
        <w:pStyle w:val="13"/>
        <w:rPr>
          <w:color w:val="auto"/>
          <w:sz w:val="28"/>
        </w:rPr>
      </w:pPr>
    </w:p>
    <w:p>
      <w:pPr>
        <w:pStyle w:val="13"/>
        <w:spacing w:before="11"/>
        <w:rPr>
          <w:color w:val="auto"/>
          <w:sz w:val="27"/>
        </w:rPr>
      </w:pPr>
    </w:p>
    <w:p>
      <w:pPr>
        <w:pStyle w:val="13"/>
        <w:tabs>
          <w:tab w:val="left" w:pos="859"/>
        </w:tabs>
        <w:spacing w:line="360" w:lineRule="auto"/>
        <w:ind w:firstLine="480" w:firstLineChars="200"/>
        <w:rPr>
          <w:color w:val="auto"/>
          <w:sz w:val="24"/>
          <w:szCs w:val="24"/>
        </w:rPr>
      </w:pPr>
      <w:r>
        <w:rPr>
          <w:color w:val="auto"/>
          <w:sz w:val="24"/>
          <w:szCs w:val="24"/>
        </w:rPr>
        <w:t>说明：</w:t>
      </w:r>
    </w:p>
    <w:p>
      <w:pPr>
        <w:pStyle w:val="31"/>
        <w:numPr>
          <w:ilvl w:val="0"/>
          <w:numId w:val="0"/>
        </w:numPr>
        <w:tabs>
          <w:tab w:val="left" w:pos="1332"/>
        </w:tabs>
        <w:spacing w:before="140" w:line="360" w:lineRule="auto"/>
        <w:ind w:right="3" w:rightChars="0" w:firstLine="472" w:firstLineChars="200"/>
        <w:jc w:val="both"/>
        <w:rPr>
          <w:color w:val="auto"/>
          <w:sz w:val="24"/>
          <w:szCs w:val="24"/>
        </w:rPr>
      </w:pPr>
      <w:r>
        <w:rPr>
          <w:rFonts w:hint="eastAsia"/>
          <w:color w:val="auto"/>
          <w:spacing w:val="-2"/>
          <w:sz w:val="24"/>
          <w:szCs w:val="24"/>
          <w:lang w:val="en-US" w:eastAsia="zh-CN"/>
        </w:rPr>
        <w:t>1.</w:t>
      </w:r>
      <w:r>
        <w:rPr>
          <w:color w:val="auto"/>
          <w:spacing w:val="-2"/>
          <w:sz w:val="24"/>
          <w:szCs w:val="24"/>
        </w:rPr>
        <w:t>招标人在根据本范本编制项目招标文件中的“项目专用合同条款”时，可根据招标项目的</w:t>
      </w:r>
      <w:r>
        <w:rPr>
          <w:color w:val="auto"/>
          <w:sz w:val="24"/>
          <w:szCs w:val="24"/>
        </w:rPr>
        <w:t>具体特点和实际需要，对“通用合同条款”及“公路工程合同专用条款”进行补充和细化，除“通用合同条款”明确“专用合同条款”可做出不同约定及“公路工程合同专用条款”明确“项目专用</w:t>
      </w:r>
      <w:r>
        <w:rPr>
          <w:color w:val="auto"/>
          <w:spacing w:val="-9"/>
          <w:sz w:val="24"/>
          <w:szCs w:val="24"/>
        </w:rPr>
        <w:t>合同条款”可做出不同约定外，补充和细化的内容不得与“通用合同条款”及“公路工程合同专用</w:t>
      </w:r>
      <w:r>
        <w:rPr>
          <w:color w:val="auto"/>
          <w:sz w:val="24"/>
          <w:szCs w:val="24"/>
        </w:rPr>
        <w:t>条款”强制性规定相抵触。同时，补充、细化或约定的不同内容，不得违反法律、行政法规的强制性规定和平等、自愿、公平和诚实信用原则。</w:t>
      </w:r>
    </w:p>
    <w:p>
      <w:pPr>
        <w:pStyle w:val="31"/>
        <w:numPr>
          <w:ilvl w:val="0"/>
          <w:numId w:val="0"/>
        </w:numPr>
        <w:tabs>
          <w:tab w:val="left" w:pos="1384"/>
        </w:tabs>
        <w:spacing w:line="360" w:lineRule="auto"/>
        <w:ind w:firstLine="480" w:firstLineChars="200"/>
        <w:rPr>
          <w:color w:val="auto"/>
          <w:sz w:val="24"/>
          <w:szCs w:val="24"/>
        </w:rPr>
      </w:pPr>
      <w:r>
        <w:rPr>
          <w:rFonts w:hint="eastAsia"/>
          <w:color w:val="auto"/>
          <w:sz w:val="24"/>
          <w:szCs w:val="24"/>
          <w:lang w:val="en-US" w:eastAsia="zh-CN"/>
        </w:rPr>
        <w:t>2.</w:t>
      </w:r>
      <w:r>
        <w:rPr>
          <w:color w:val="auto"/>
          <w:sz w:val="24"/>
          <w:szCs w:val="24"/>
        </w:rPr>
        <w:t>项目专用合同条款的编号应与通用合同条款和公路工程合同专用条款一致。</w:t>
      </w:r>
    </w:p>
    <w:p>
      <w:pPr>
        <w:pStyle w:val="31"/>
        <w:numPr>
          <w:ilvl w:val="0"/>
          <w:numId w:val="0"/>
        </w:numPr>
        <w:tabs>
          <w:tab w:val="left" w:pos="1384"/>
        </w:tabs>
        <w:spacing w:before="141" w:line="360" w:lineRule="auto"/>
        <w:ind w:firstLine="480" w:firstLineChars="200"/>
        <w:rPr>
          <w:color w:val="auto"/>
          <w:sz w:val="24"/>
          <w:szCs w:val="24"/>
        </w:rPr>
      </w:pPr>
      <w:r>
        <w:rPr>
          <w:rFonts w:hint="eastAsia"/>
          <w:color w:val="auto"/>
          <w:sz w:val="24"/>
          <w:szCs w:val="24"/>
          <w:lang w:val="en-US" w:eastAsia="zh-CN"/>
        </w:rPr>
        <w:t>3..</w:t>
      </w:r>
      <w:r>
        <w:rPr>
          <w:color w:val="auto"/>
          <w:sz w:val="24"/>
          <w:szCs w:val="24"/>
        </w:rPr>
        <w:t>项目专用合同条款可对下列内容进行补充和细化：</w:t>
      </w:r>
    </w:p>
    <w:p>
      <w:pPr>
        <w:pStyle w:val="31"/>
        <w:numPr>
          <w:ilvl w:val="0"/>
          <w:numId w:val="0"/>
        </w:numPr>
        <w:tabs>
          <w:tab w:val="left" w:pos="1385"/>
        </w:tabs>
        <w:spacing w:before="138" w:line="360" w:lineRule="auto"/>
        <w:ind w:firstLine="484" w:firstLineChars="200"/>
        <w:rPr>
          <w:color w:val="auto"/>
          <w:sz w:val="24"/>
          <w:szCs w:val="24"/>
        </w:rPr>
      </w:pPr>
      <w:r>
        <w:rPr>
          <w:rFonts w:hint="eastAsia"/>
          <w:color w:val="auto"/>
          <w:spacing w:val="1"/>
          <w:sz w:val="24"/>
          <w:szCs w:val="24"/>
          <w:lang w:eastAsia="zh-CN"/>
        </w:rPr>
        <w:t>（</w:t>
      </w:r>
      <w:r>
        <w:rPr>
          <w:rFonts w:hint="eastAsia"/>
          <w:color w:val="auto"/>
          <w:spacing w:val="1"/>
          <w:sz w:val="24"/>
          <w:szCs w:val="24"/>
          <w:lang w:val="en-US" w:eastAsia="zh-CN"/>
        </w:rPr>
        <w:t>1</w:t>
      </w:r>
      <w:r>
        <w:rPr>
          <w:rFonts w:hint="eastAsia"/>
          <w:color w:val="auto"/>
          <w:spacing w:val="1"/>
          <w:sz w:val="24"/>
          <w:szCs w:val="24"/>
          <w:lang w:eastAsia="zh-CN"/>
        </w:rPr>
        <w:t>）</w:t>
      </w:r>
      <w:r>
        <w:rPr>
          <w:color w:val="auto"/>
          <w:spacing w:val="1"/>
          <w:sz w:val="24"/>
          <w:szCs w:val="24"/>
        </w:rPr>
        <w:t>“通用合同条款”中明确指出“专用合同条款”可对“通用合同条款”进行修改的内容</w:t>
      </w:r>
      <w:r>
        <w:rPr>
          <w:color w:val="auto"/>
          <w:sz w:val="24"/>
          <w:szCs w:val="24"/>
        </w:rPr>
        <w:t>(在“通用合同条款”中用“应按合同约定”、“应按专用合同条款约定”“除合同另有约定外”、“除专用合同条款另有约定外”、“在专用合同条款中约定”等多种文字形式表达)；</w:t>
      </w:r>
    </w:p>
    <w:p>
      <w:pPr>
        <w:pStyle w:val="31"/>
        <w:numPr>
          <w:ilvl w:val="0"/>
          <w:numId w:val="0"/>
        </w:numPr>
        <w:tabs>
          <w:tab w:val="left" w:pos="1492"/>
        </w:tabs>
        <w:spacing w:line="360" w:lineRule="auto"/>
        <w:ind w:right="3" w:rightChars="0" w:firstLine="476" w:firstLineChars="200"/>
        <w:jc w:val="both"/>
        <w:rPr>
          <w:rFonts w:hint="default" w:eastAsia="宋体"/>
          <w:color w:val="auto"/>
          <w:sz w:val="24"/>
          <w:szCs w:val="24"/>
          <w:lang w:val="en-US" w:eastAsia="zh-CN"/>
        </w:rPr>
      </w:pPr>
      <w:r>
        <w:rPr>
          <w:rFonts w:hint="eastAsia"/>
          <w:color w:val="auto"/>
          <w:spacing w:val="-1"/>
          <w:sz w:val="24"/>
          <w:szCs w:val="24"/>
          <w:lang w:eastAsia="zh-CN"/>
        </w:rPr>
        <w:t>（</w:t>
      </w:r>
      <w:r>
        <w:rPr>
          <w:rFonts w:hint="eastAsia"/>
          <w:color w:val="auto"/>
          <w:spacing w:val="-1"/>
          <w:sz w:val="24"/>
          <w:szCs w:val="24"/>
          <w:lang w:val="en-US" w:eastAsia="zh-CN"/>
        </w:rPr>
        <w:t>2</w:t>
      </w:r>
      <w:r>
        <w:rPr>
          <w:rFonts w:hint="eastAsia"/>
          <w:color w:val="auto"/>
          <w:spacing w:val="-1"/>
          <w:sz w:val="24"/>
          <w:szCs w:val="24"/>
          <w:lang w:eastAsia="zh-CN"/>
        </w:rPr>
        <w:t>）</w:t>
      </w:r>
      <w:r>
        <w:rPr>
          <w:color w:val="auto"/>
          <w:spacing w:val="-1"/>
          <w:sz w:val="24"/>
          <w:szCs w:val="24"/>
        </w:rPr>
        <w:t>“公路工程专用合同条款”中明确指出“项目专用合同条款”可对“公路工程专用合同</w:t>
      </w:r>
      <w:r>
        <w:rPr>
          <w:color w:val="auto"/>
          <w:spacing w:val="-9"/>
          <w:sz w:val="24"/>
          <w:szCs w:val="24"/>
        </w:rPr>
        <w:t>条款”进行修改的内容</w:t>
      </w:r>
      <w:r>
        <w:rPr>
          <w:color w:val="auto"/>
          <w:sz w:val="24"/>
          <w:szCs w:val="24"/>
        </w:rPr>
        <w:t>（</w:t>
      </w:r>
      <w:r>
        <w:rPr>
          <w:color w:val="auto"/>
          <w:spacing w:val="-14"/>
          <w:sz w:val="24"/>
          <w:szCs w:val="24"/>
        </w:rPr>
        <w:t>在“公路工程专用合同条款”中用“除项目专用合同条款另有约定外”</w:t>
      </w:r>
      <w:r>
        <w:rPr>
          <w:color w:val="auto"/>
          <w:spacing w:val="-50"/>
          <w:sz w:val="24"/>
          <w:szCs w:val="24"/>
        </w:rPr>
        <w:t>、“项</w:t>
      </w:r>
      <w:r>
        <w:rPr>
          <w:color w:val="auto"/>
          <w:spacing w:val="-15"/>
          <w:sz w:val="24"/>
          <w:szCs w:val="24"/>
        </w:rPr>
        <w:t>目专用合同条款可能约定的”、“项目专用合同条款约定的其他情形”等多种文字形式表</w:t>
      </w:r>
      <w:r>
        <w:rPr>
          <w:rFonts w:hint="eastAsia"/>
          <w:color w:val="auto"/>
          <w:spacing w:val="-15"/>
          <w:sz w:val="24"/>
          <w:szCs w:val="24"/>
          <w:lang w:val="en-US" w:eastAsia="zh-CN"/>
        </w:rPr>
        <w:t>达）；</w:t>
      </w:r>
    </w:p>
    <w:p>
      <w:pPr>
        <w:pStyle w:val="31"/>
        <w:numPr>
          <w:ilvl w:val="0"/>
          <w:numId w:val="0"/>
        </w:numPr>
        <w:tabs>
          <w:tab w:val="left" w:pos="965"/>
        </w:tabs>
        <w:spacing w:line="360" w:lineRule="auto"/>
        <w:ind w:firstLine="480" w:firstLineChars="200"/>
        <w:rPr>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color w:val="auto"/>
          <w:sz w:val="24"/>
          <w:szCs w:val="24"/>
        </w:rPr>
        <w:t>其他需要补充、细化的内容。</w:t>
      </w:r>
    </w:p>
    <w:p>
      <w:pPr>
        <w:spacing w:line="360" w:lineRule="auto"/>
        <w:rPr>
          <w:color w:val="auto"/>
          <w:sz w:val="24"/>
          <w:szCs w:val="24"/>
        </w:rPr>
        <w:sectPr>
          <w:footerReference r:id="rId22" w:type="default"/>
          <w:pgSz w:w="11911" w:h="16838"/>
          <w:pgMar w:top="1247" w:right="1094" w:bottom="1247" w:left="1134" w:header="737" w:footer="850" w:gutter="0"/>
          <w:pgNumType w:fmt="decimal"/>
          <w:cols w:space="720" w:num="1"/>
        </w:sectPr>
      </w:pPr>
    </w:p>
    <w:p>
      <w:pPr>
        <w:pStyle w:val="13"/>
        <w:rPr>
          <w:color w:val="auto"/>
          <w:sz w:val="20"/>
        </w:rPr>
      </w:pPr>
    </w:p>
    <w:p>
      <w:pPr>
        <w:spacing w:before="215"/>
        <w:ind w:left="3424"/>
        <w:rPr>
          <w:b/>
          <w:color w:val="auto"/>
          <w:sz w:val="32"/>
          <w:szCs w:val="32"/>
        </w:rPr>
      </w:pPr>
      <w:r>
        <w:rPr>
          <w:b/>
          <w:color w:val="auto"/>
          <w:sz w:val="32"/>
          <w:szCs w:val="32"/>
        </w:rPr>
        <w:t>项目专</w:t>
      </w:r>
      <w:r>
        <w:rPr>
          <w:rFonts w:hint="eastAsia"/>
          <w:b/>
          <w:color w:val="auto"/>
          <w:sz w:val="32"/>
          <w:szCs w:val="32"/>
          <w:lang w:val="en-US" w:eastAsia="zh-CN"/>
        </w:rPr>
        <w:t>用</w:t>
      </w:r>
      <w:r>
        <w:rPr>
          <w:b/>
          <w:color w:val="auto"/>
          <w:sz w:val="32"/>
          <w:szCs w:val="32"/>
        </w:rPr>
        <w:t>条款合同数据表</w:t>
      </w:r>
    </w:p>
    <w:p>
      <w:pPr>
        <w:pStyle w:val="13"/>
        <w:spacing w:before="186" w:line="240" w:lineRule="exact"/>
        <w:ind w:left="1015" w:right="181" w:hanging="794"/>
        <w:jc w:val="both"/>
        <w:rPr>
          <w:color w:val="auto"/>
          <w:spacing w:val="-10"/>
        </w:rPr>
      </w:pPr>
    </w:p>
    <w:p>
      <w:pPr>
        <w:pStyle w:val="13"/>
        <w:spacing w:before="186" w:line="364" w:lineRule="auto"/>
        <w:ind w:left="1016" w:right="183" w:hanging="796"/>
        <w:jc w:val="both"/>
        <w:rPr>
          <w:color w:val="auto"/>
        </w:rPr>
      </w:pPr>
      <w:r>
        <w:rPr>
          <w:color w:val="auto"/>
          <w:spacing w:val="-10"/>
        </w:rPr>
        <w:t>说明：本数据表是项目专用合同条款中适用于本项目的信息和数据的归纳与提示，是项目专用合同</w:t>
      </w:r>
      <w:r>
        <w:rPr>
          <w:color w:val="auto"/>
        </w:rPr>
        <w:t>条款的组成部分。第八章“投标文件格式”的投标函附录中的数据(供投标人确认)与本表所列有重复。编写招标文件的单位应仔细校核，不使数据出现差错或不一致。</w:t>
      </w:r>
    </w:p>
    <w:tbl>
      <w:tblPr>
        <w:tblStyle w:val="25"/>
        <w:tblW w:w="932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6"/>
        <w:gridCol w:w="1276"/>
        <w:gridCol w:w="73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676" w:type="dxa"/>
            <w:vAlign w:val="center"/>
          </w:tcPr>
          <w:p>
            <w:pPr>
              <w:pStyle w:val="32"/>
              <w:spacing w:line="268" w:lineRule="exact"/>
              <w:ind w:left="105" w:right="98"/>
              <w:jc w:val="both"/>
              <w:rPr>
                <w:b/>
                <w:color w:val="auto"/>
                <w:sz w:val="21"/>
              </w:rPr>
            </w:pPr>
            <w:r>
              <w:rPr>
                <w:b/>
                <w:color w:val="auto"/>
                <w:sz w:val="21"/>
              </w:rPr>
              <w:t>序号</w:t>
            </w:r>
          </w:p>
        </w:tc>
        <w:tc>
          <w:tcPr>
            <w:tcW w:w="1276" w:type="dxa"/>
            <w:vAlign w:val="center"/>
          </w:tcPr>
          <w:p>
            <w:pPr>
              <w:pStyle w:val="32"/>
              <w:spacing w:line="268" w:lineRule="exact"/>
              <w:ind w:left="144" w:right="137"/>
              <w:jc w:val="center"/>
              <w:rPr>
                <w:b/>
                <w:color w:val="auto"/>
                <w:sz w:val="21"/>
              </w:rPr>
            </w:pPr>
            <w:r>
              <w:rPr>
                <w:b/>
                <w:color w:val="auto"/>
                <w:sz w:val="21"/>
              </w:rPr>
              <w:t>条目号</w:t>
            </w:r>
          </w:p>
        </w:tc>
        <w:tc>
          <w:tcPr>
            <w:tcW w:w="7372" w:type="dxa"/>
            <w:vAlign w:val="center"/>
          </w:tcPr>
          <w:p>
            <w:pPr>
              <w:pStyle w:val="32"/>
              <w:spacing w:line="268" w:lineRule="exact"/>
              <w:ind w:left="3135" w:right="3132"/>
              <w:jc w:val="center"/>
              <w:rPr>
                <w:b/>
                <w:color w:val="auto"/>
                <w:sz w:val="21"/>
              </w:rPr>
            </w:pPr>
            <w:r>
              <w:rPr>
                <w:b/>
                <w:color w:val="auto"/>
                <w:sz w:val="21"/>
              </w:rPr>
              <w:t>信息或数据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jc w:val="center"/>
        </w:trPr>
        <w:tc>
          <w:tcPr>
            <w:tcW w:w="676" w:type="dxa"/>
          </w:tcPr>
          <w:p>
            <w:pPr>
              <w:pStyle w:val="32"/>
              <w:spacing w:before="10"/>
              <w:rPr>
                <w:color w:val="auto"/>
                <w:sz w:val="15"/>
              </w:rPr>
            </w:pPr>
          </w:p>
          <w:p>
            <w:pPr>
              <w:pStyle w:val="32"/>
              <w:ind w:left="7"/>
              <w:jc w:val="center"/>
              <w:rPr>
                <w:color w:val="auto"/>
                <w:sz w:val="21"/>
              </w:rPr>
            </w:pPr>
            <w:r>
              <w:rPr>
                <w:color w:val="auto"/>
                <w:sz w:val="21"/>
              </w:rPr>
              <w:t>1</w:t>
            </w:r>
          </w:p>
        </w:tc>
        <w:tc>
          <w:tcPr>
            <w:tcW w:w="1276" w:type="dxa"/>
          </w:tcPr>
          <w:p>
            <w:pPr>
              <w:pStyle w:val="32"/>
              <w:spacing w:before="10"/>
              <w:rPr>
                <w:color w:val="auto"/>
                <w:sz w:val="15"/>
              </w:rPr>
            </w:pPr>
          </w:p>
          <w:p>
            <w:pPr>
              <w:pStyle w:val="32"/>
              <w:ind w:left="142" w:right="137"/>
              <w:jc w:val="center"/>
              <w:rPr>
                <w:color w:val="auto"/>
                <w:sz w:val="21"/>
              </w:rPr>
            </w:pPr>
            <w:r>
              <w:rPr>
                <w:color w:val="auto"/>
                <w:sz w:val="21"/>
              </w:rPr>
              <w:t>1.1.2.2</w:t>
            </w:r>
          </w:p>
        </w:tc>
        <w:tc>
          <w:tcPr>
            <w:tcW w:w="7372" w:type="dxa"/>
            <w:vAlign w:val="center"/>
          </w:tcPr>
          <w:p>
            <w:pPr>
              <w:pStyle w:val="32"/>
              <w:ind w:left="105"/>
              <w:jc w:val="both"/>
              <w:rPr>
                <w:rFonts w:hint="eastAsia" w:eastAsia="宋体"/>
                <w:color w:val="auto"/>
                <w:sz w:val="21"/>
                <w:shd w:val="clear" w:color="auto" w:fill="auto"/>
                <w:lang w:eastAsia="zh-CN"/>
              </w:rPr>
            </w:pPr>
            <w:r>
              <w:rPr>
                <w:color w:val="auto"/>
                <w:sz w:val="21"/>
                <w:shd w:val="clear" w:color="auto" w:fill="auto"/>
              </w:rPr>
              <w:t>发包人：</w:t>
            </w:r>
            <w:r>
              <w:rPr>
                <w:rFonts w:hint="eastAsia"/>
                <w:color w:val="auto"/>
                <w:sz w:val="21"/>
                <w:shd w:val="clear" w:color="auto" w:fill="auto"/>
                <w:lang w:val="en-US" w:eastAsia="zh-CN"/>
              </w:rPr>
              <w:t>陆丰市金厢镇人民政府</w:t>
            </w:r>
          </w:p>
          <w:p>
            <w:pPr>
              <w:pStyle w:val="32"/>
              <w:tabs>
                <w:tab w:val="left" w:pos="735"/>
                <w:tab w:val="left" w:pos="3149"/>
              </w:tabs>
              <w:spacing w:before="139"/>
              <w:ind w:left="105"/>
              <w:jc w:val="both"/>
              <w:rPr>
                <w:rFonts w:hint="eastAsia"/>
                <w:color w:val="auto"/>
                <w:sz w:val="21"/>
                <w:shd w:val="clear" w:color="auto" w:fill="auto"/>
                <w:lang w:val="en-US" w:eastAsia="zh-CN"/>
              </w:rPr>
            </w:pPr>
            <w:r>
              <w:rPr>
                <w:color w:val="auto"/>
                <w:sz w:val="21"/>
                <w:shd w:val="clear" w:color="auto" w:fill="auto"/>
              </w:rPr>
              <w:t>地</w:t>
            </w:r>
            <w:r>
              <w:rPr>
                <w:color w:val="auto"/>
                <w:sz w:val="21"/>
                <w:shd w:val="clear" w:color="auto" w:fill="auto"/>
              </w:rPr>
              <w:tab/>
            </w:r>
            <w:r>
              <w:rPr>
                <w:color w:val="auto"/>
                <w:sz w:val="21"/>
                <w:shd w:val="clear" w:color="auto" w:fill="auto"/>
              </w:rPr>
              <w:t>址：</w:t>
            </w:r>
            <w:r>
              <w:rPr>
                <w:rFonts w:hint="eastAsia"/>
                <w:color w:val="auto"/>
                <w:sz w:val="21"/>
                <w:shd w:val="clear" w:color="auto" w:fill="auto"/>
                <w:lang w:val="en-US" w:eastAsia="zh-CN"/>
              </w:rPr>
              <w:t xml:space="preserve">陆丰市金厢镇人民政府 </w:t>
            </w:r>
          </w:p>
          <w:p>
            <w:pPr>
              <w:pStyle w:val="32"/>
              <w:tabs>
                <w:tab w:val="left" w:pos="735"/>
                <w:tab w:val="left" w:pos="3149"/>
              </w:tabs>
              <w:spacing w:before="139"/>
              <w:ind w:left="105"/>
              <w:jc w:val="both"/>
              <w:rPr>
                <w:rFonts w:hint="eastAsia" w:eastAsia="宋体"/>
                <w:color w:val="auto"/>
                <w:sz w:val="21"/>
                <w:shd w:val="clear" w:color="auto" w:fill="auto"/>
                <w:lang w:val="en-US" w:eastAsia="zh-CN"/>
              </w:rPr>
            </w:pPr>
            <w:r>
              <w:rPr>
                <w:color w:val="auto"/>
                <w:sz w:val="21"/>
                <w:shd w:val="clear" w:color="auto" w:fill="auto"/>
              </w:rPr>
              <w:t>邮政编码：</w:t>
            </w:r>
            <w:r>
              <w:rPr>
                <w:rFonts w:hint="eastAsia"/>
                <w:color w:val="auto"/>
                <w:sz w:val="21"/>
                <w:shd w:val="clear" w:color="auto" w:fill="auto"/>
                <w:lang w:val="en-US" w:eastAsia="zh-CN"/>
              </w:rPr>
              <w:t>516500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3" w:hRule="atLeast"/>
          <w:jc w:val="center"/>
        </w:trPr>
        <w:tc>
          <w:tcPr>
            <w:tcW w:w="676" w:type="dxa"/>
          </w:tcPr>
          <w:p>
            <w:pPr>
              <w:pStyle w:val="32"/>
              <w:rPr>
                <w:color w:val="auto"/>
                <w:sz w:val="20"/>
              </w:rPr>
            </w:pPr>
          </w:p>
          <w:p>
            <w:pPr>
              <w:pStyle w:val="32"/>
              <w:spacing w:before="9"/>
              <w:rPr>
                <w:color w:val="auto"/>
                <w:sz w:val="27"/>
              </w:rPr>
            </w:pPr>
          </w:p>
          <w:p>
            <w:pPr>
              <w:pStyle w:val="32"/>
              <w:ind w:left="7"/>
              <w:jc w:val="center"/>
              <w:rPr>
                <w:color w:val="auto"/>
                <w:sz w:val="21"/>
              </w:rPr>
            </w:pPr>
            <w:r>
              <w:rPr>
                <w:color w:val="auto"/>
                <w:sz w:val="21"/>
              </w:rPr>
              <w:t>2</w:t>
            </w:r>
          </w:p>
        </w:tc>
        <w:tc>
          <w:tcPr>
            <w:tcW w:w="1276" w:type="dxa"/>
          </w:tcPr>
          <w:p>
            <w:pPr>
              <w:pStyle w:val="32"/>
              <w:rPr>
                <w:color w:val="auto"/>
                <w:sz w:val="20"/>
              </w:rPr>
            </w:pPr>
          </w:p>
          <w:p>
            <w:pPr>
              <w:pStyle w:val="32"/>
              <w:spacing w:before="9"/>
              <w:rPr>
                <w:color w:val="auto"/>
                <w:sz w:val="27"/>
              </w:rPr>
            </w:pPr>
          </w:p>
          <w:p>
            <w:pPr>
              <w:pStyle w:val="32"/>
              <w:ind w:left="142" w:right="137"/>
              <w:jc w:val="center"/>
              <w:rPr>
                <w:color w:val="auto"/>
                <w:sz w:val="21"/>
              </w:rPr>
            </w:pPr>
            <w:r>
              <w:rPr>
                <w:color w:val="auto"/>
                <w:sz w:val="21"/>
              </w:rPr>
              <w:t>1.1.2.6</w:t>
            </w:r>
          </w:p>
        </w:tc>
        <w:tc>
          <w:tcPr>
            <w:tcW w:w="7372" w:type="dxa"/>
            <w:vAlign w:val="center"/>
          </w:tcPr>
          <w:p>
            <w:pPr>
              <w:pStyle w:val="32"/>
              <w:ind w:left="105"/>
              <w:jc w:val="both"/>
              <w:rPr>
                <w:color w:val="auto"/>
                <w:sz w:val="21"/>
                <w:shd w:val="clear" w:color="auto" w:fill="auto"/>
              </w:rPr>
            </w:pPr>
            <w:r>
              <w:rPr>
                <w:color w:val="auto"/>
                <w:sz w:val="21"/>
                <w:shd w:val="clear" w:color="auto" w:fill="auto"/>
              </w:rPr>
              <w:t>监理人：</w:t>
            </w:r>
          </w:p>
          <w:p>
            <w:pPr>
              <w:pStyle w:val="32"/>
              <w:tabs>
                <w:tab w:val="left" w:pos="735"/>
                <w:tab w:val="left" w:pos="3149"/>
              </w:tabs>
              <w:spacing w:before="140"/>
              <w:ind w:left="105" w:right="1642"/>
              <w:jc w:val="both"/>
              <w:rPr>
                <w:rFonts w:hint="eastAsia" w:eastAsia="宋体"/>
                <w:color w:val="auto"/>
                <w:sz w:val="21"/>
                <w:shd w:val="clear" w:color="auto" w:fill="auto"/>
                <w:lang w:eastAsia="zh-CN"/>
              </w:rPr>
            </w:pPr>
            <w:r>
              <w:rPr>
                <w:color w:val="auto"/>
                <w:sz w:val="21"/>
                <w:shd w:val="clear" w:color="auto" w:fill="auto"/>
              </w:rPr>
              <w:t>地</w:t>
            </w:r>
            <w:r>
              <w:rPr>
                <w:color w:val="auto"/>
                <w:sz w:val="21"/>
                <w:shd w:val="clear" w:color="auto" w:fill="auto"/>
              </w:rPr>
              <w:tab/>
            </w:r>
            <w:r>
              <w:rPr>
                <w:color w:val="auto"/>
                <w:sz w:val="21"/>
                <w:shd w:val="clear" w:color="auto" w:fill="auto"/>
              </w:rPr>
              <w:t>址：</w:t>
            </w:r>
            <w:r>
              <w:rPr>
                <w:color w:val="auto"/>
                <w:sz w:val="21"/>
                <w:shd w:val="clear" w:color="auto" w:fill="auto"/>
              </w:rPr>
              <w:tab/>
            </w:r>
            <w:r>
              <w:rPr>
                <w:color w:val="auto"/>
                <w:sz w:val="21"/>
                <w:shd w:val="clear" w:color="auto" w:fill="auto"/>
              </w:rPr>
              <w:t>邮政编码</w:t>
            </w:r>
            <w:r>
              <w:rPr>
                <w:color w:val="auto"/>
                <w:spacing w:val="-16"/>
                <w:sz w:val="21"/>
                <w:shd w:val="clear" w:color="auto" w:fill="auto"/>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8" w:hRule="atLeast"/>
          <w:jc w:val="center"/>
        </w:trPr>
        <w:tc>
          <w:tcPr>
            <w:tcW w:w="676" w:type="dxa"/>
          </w:tcPr>
          <w:p>
            <w:pPr>
              <w:pStyle w:val="32"/>
              <w:ind w:left="7"/>
              <w:jc w:val="center"/>
              <w:rPr>
                <w:color w:val="auto"/>
                <w:sz w:val="21"/>
              </w:rPr>
            </w:pPr>
            <w:r>
              <w:rPr>
                <w:color w:val="auto"/>
                <w:sz w:val="21"/>
              </w:rPr>
              <w:t>3</w:t>
            </w:r>
          </w:p>
        </w:tc>
        <w:tc>
          <w:tcPr>
            <w:tcW w:w="1276" w:type="dxa"/>
          </w:tcPr>
          <w:p>
            <w:pPr>
              <w:pStyle w:val="32"/>
              <w:ind w:left="142" w:right="137"/>
              <w:jc w:val="center"/>
              <w:rPr>
                <w:color w:val="auto"/>
                <w:sz w:val="21"/>
              </w:rPr>
            </w:pPr>
            <w:r>
              <w:rPr>
                <w:color w:val="auto"/>
                <w:sz w:val="21"/>
              </w:rPr>
              <w:t>1.1.4.5</w:t>
            </w:r>
          </w:p>
        </w:tc>
        <w:tc>
          <w:tcPr>
            <w:tcW w:w="7372" w:type="dxa"/>
            <w:vAlign w:val="center"/>
          </w:tcPr>
          <w:p>
            <w:pPr>
              <w:pStyle w:val="32"/>
              <w:ind w:left="106"/>
              <w:jc w:val="both"/>
              <w:rPr>
                <w:color w:val="auto"/>
                <w:sz w:val="11"/>
                <w:shd w:val="clear" w:color="auto" w:fill="auto"/>
              </w:rPr>
            </w:pPr>
            <w:r>
              <w:rPr>
                <w:color w:val="auto"/>
                <w:sz w:val="21"/>
                <w:shd w:val="clear" w:color="auto" w:fill="auto"/>
              </w:rPr>
              <w:t>缺陷责任期：自实际交工日期起计算</w:t>
            </w:r>
            <w:r>
              <w:rPr>
                <w:rFonts w:hint="eastAsia"/>
                <w:color w:val="auto"/>
                <w:sz w:val="21"/>
                <w:u w:val="single"/>
                <w:shd w:val="clear" w:color="auto" w:fill="auto"/>
                <w:lang w:val="en-US" w:eastAsia="zh-CN"/>
              </w:rPr>
              <w:t>2</w:t>
            </w:r>
            <w:r>
              <w:rPr>
                <w:color w:val="auto"/>
                <w:sz w:val="21"/>
                <w:shd w:val="clear" w:color="auto" w:fill="auto"/>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jc w:val="center"/>
        </w:trPr>
        <w:tc>
          <w:tcPr>
            <w:tcW w:w="676" w:type="dxa"/>
          </w:tcPr>
          <w:p>
            <w:pPr>
              <w:pStyle w:val="32"/>
              <w:spacing w:before="10"/>
              <w:rPr>
                <w:color w:val="auto"/>
                <w:sz w:val="15"/>
              </w:rPr>
            </w:pPr>
          </w:p>
          <w:p>
            <w:pPr>
              <w:pStyle w:val="32"/>
              <w:ind w:left="7"/>
              <w:jc w:val="center"/>
              <w:rPr>
                <w:color w:val="auto"/>
                <w:sz w:val="21"/>
              </w:rPr>
            </w:pPr>
            <w:r>
              <w:rPr>
                <w:color w:val="auto"/>
                <w:sz w:val="21"/>
              </w:rPr>
              <w:t>4</w:t>
            </w:r>
          </w:p>
        </w:tc>
        <w:tc>
          <w:tcPr>
            <w:tcW w:w="1276" w:type="dxa"/>
          </w:tcPr>
          <w:p>
            <w:pPr>
              <w:pStyle w:val="32"/>
              <w:spacing w:before="10"/>
              <w:rPr>
                <w:color w:val="auto"/>
                <w:sz w:val="15"/>
              </w:rPr>
            </w:pPr>
          </w:p>
          <w:p>
            <w:pPr>
              <w:pStyle w:val="32"/>
              <w:ind w:left="142" w:right="137"/>
              <w:jc w:val="center"/>
              <w:rPr>
                <w:color w:val="auto"/>
                <w:sz w:val="21"/>
              </w:rPr>
            </w:pPr>
            <w:r>
              <w:rPr>
                <w:color w:val="auto"/>
                <w:sz w:val="21"/>
              </w:rPr>
              <w:t>1.6.3</w:t>
            </w:r>
          </w:p>
        </w:tc>
        <w:tc>
          <w:tcPr>
            <w:tcW w:w="7372" w:type="dxa"/>
            <w:vAlign w:val="center"/>
          </w:tcPr>
          <w:p>
            <w:pPr>
              <w:pStyle w:val="32"/>
              <w:ind w:left="105"/>
              <w:jc w:val="both"/>
              <w:rPr>
                <w:color w:val="auto"/>
                <w:sz w:val="21"/>
              </w:rPr>
            </w:pPr>
            <w:r>
              <w:rPr>
                <w:color w:val="auto"/>
                <w:sz w:val="21"/>
              </w:rPr>
              <w:t>图纸需要修改和补充的，应由监理人取得发包人同意后，在该工程或工程相应</w:t>
            </w:r>
          </w:p>
          <w:p>
            <w:pPr>
              <w:pStyle w:val="32"/>
              <w:tabs>
                <w:tab w:val="left" w:pos="1890"/>
              </w:tabs>
              <w:spacing w:before="139"/>
              <w:ind w:left="105"/>
              <w:jc w:val="both"/>
              <w:rPr>
                <w:color w:val="auto"/>
                <w:sz w:val="21"/>
              </w:rPr>
            </w:pPr>
            <w:r>
              <w:rPr>
                <w:color w:val="auto"/>
                <w:sz w:val="21"/>
              </w:rPr>
              <w:t>部位施工前</w:t>
            </w:r>
            <w:r>
              <w:rPr>
                <w:rFonts w:hint="eastAsia"/>
                <w:color w:val="auto"/>
                <w:sz w:val="21"/>
                <w:u w:val="single"/>
                <w:lang w:val="en-US"/>
              </w:rPr>
              <w:t>7</w:t>
            </w:r>
            <w:r>
              <w:rPr>
                <w:color w:val="auto"/>
                <w:sz w:val="21"/>
              </w:rPr>
              <w:t>天签发图纸修改图给承包人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jc w:val="center"/>
        </w:trPr>
        <w:tc>
          <w:tcPr>
            <w:tcW w:w="676" w:type="dxa"/>
          </w:tcPr>
          <w:p>
            <w:pPr>
              <w:pStyle w:val="32"/>
              <w:spacing w:before="10"/>
              <w:rPr>
                <w:color w:val="auto"/>
                <w:sz w:val="15"/>
              </w:rPr>
            </w:pPr>
          </w:p>
          <w:p>
            <w:pPr>
              <w:pStyle w:val="32"/>
              <w:ind w:left="7"/>
              <w:jc w:val="center"/>
              <w:rPr>
                <w:color w:val="auto"/>
                <w:sz w:val="21"/>
              </w:rPr>
            </w:pPr>
            <w:r>
              <w:rPr>
                <w:color w:val="auto"/>
                <w:sz w:val="21"/>
              </w:rPr>
              <w:t>5</w:t>
            </w:r>
          </w:p>
        </w:tc>
        <w:tc>
          <w:tcPr>
            <w:tcW w:w="1276" w:type="dxa"/>
          </w:tcPr>
          <w:p>
            <w:pPr>
              <w:pStyle w:val="32"/>
              <w:spacing w:before="10"/>
              <w:rPr>
                <w:color w:val="auto"/>
                <w:sz w:val="15"/>
              </w:rPr>
            </w:pPr>
          </w:p>
          <w:p>
            <w:pPr>
              <w:pStyle w:val="32"/>
              <w:ind w:left="142" w:right="137"/>
              <w:jc w:val="center"/>
              <w:rPr>
                <w:color w:val="auto"/>
                <w:sz w:val="21"/>
              </w:rPr>
            </w:pPr>
            <w:r>
              <w:rPr>
                <w:color w:val="auto"/>
                <w:sz w:val="21"/>
              </w:rPr>
              <w:t>3.1.1</w:t>
            </w:r>
          </w:p>
        </w:tc>
        <w:tc>
          <w:tcPr>
            <w:tcW w:w="7372" w:type="dxa"/>
            <w:vAlign w:val="center"/>
          </w:tcPr>
          <w:p>
            <w:pPr>
              <w:pStyle w:val="32"/>
              <w:ind w:left="105"/>
              <w:jc w:val="both"/>
              <w:rPr>
                <w:color w:val="auto"/>
                <w:sz w:val="21"/>
              </w:rPr>
            </w:pPr>
            <w:r>
              <w:rPr>
                <w:color w:val="auto"/>
                <w:sz w:val="21"/>
              </w:rPr>
              <w:t>监理人在行使下列权力前需要经发包人事先批准：</w:t>
            </w:r>
          </w:p>
          <w:p>
            <w:pPr>
              <w:pStyle w:val="32"/>
              <w:spacing w:before="140"/>
              <w:ind w:left="105"/>
              <w:jc w:val="both"/>
              <w:rPr>
                <w:color w:val="auto"/>
                <w:sz w:val="21"/>
              </w:rPr>
            </w:pPr>
            <w:r>
              <w:rPr>
                <w:color w:val="auto"/>
                <w:sz w:val="21"/>
              </w:rPr>
              <w:t>(6)根据第15.3款发出的变更指示，均需要经发包人事先批准。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1" w:hRule="atLeast"/>
          <w:jc w:val="center"/>
        </w:trPr>
        <w:tc>
          <w:tcPr>
            <w:tcW w:w="676" w:type="dxa"/>
          </w:tcPr>
          <w:p>
            <w:pPr>
              <w:pStyle w:val="32"/>
              <w:spacing w:before="135"/>
              <w:ind w:left="7"/>
              <w:jc w:val="center"/>
              <w:rPr>
                <w:color w:val="auto"/>
                <w:sz w:val="21"/>
              </w:rPr>
            </w:pPr>
            <w:r>
              <w:rPr>
                <w:color w:val="auto"/>
                <w:sz w:val="21"/>
              </w:rPr>
              <w:t>6</w:t>
            </w:r>
          </w:p>
        </w:tc>
        <w:tc>
          <w:tcPr>
            <w:tcW w:w="1276" w:type="dxa"/>
          </w:tcPr>
          <w:p>
            <w:pPr>
              <w:pStyle w:val="32"/>
              <w:spacing w:before="135"/>
              <w:ind w:left="142" w:right="137"/>
              <w:jc w:val="center"/>
              <w:rPr>
                <w:color w:val="auto"/>
                <w:sz w:val="21"/>
              </w:rPr>
            </w:pPr>
            <w:r>
              <w:rPr>
                <w:color w:val="auto"/>
                <w:sz w:val="21"/>
              </w:rPr>
              <w:t>5.2.1</w:t>
            </w:r>
          </w:p>
        </w:tc>
        <w:tc>
          <w:tcPr>
            <w:tcW w:w="7372" w:type="dxa"/>
            <w:vAlign w:val="center"/>
          </w:tcPr>
          <w:p>
            <w:pPr>
              <w:pStyle w:val="32"/>
              <w:tabs>
                <w:tab w:val="left" w:pos="4200"/>
              </w:tabs>
              <w:ind w:left="105"/>
              <w:jc w:val="both"/>
              <w:rPr>
                <w:color w:val="auto"/>
                <w:sz w:val="21"/>
              </w:rPr>
            </w:pPr>
            <w:r>
              <w:rPr>
                <w:color w:val="auto"/>
                <w:sz w:val="21"/>
              </w:rPr>
              <w:t>发包人是否提供材料或工程设备：</w:t>
            </w:r>
            <w:r>
              <w:rPr>
                <w:color w:val="auto"/>
                <w:sz w:val="21"/>
                <w:u w:val="singl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atLeast"/>
          <w:jc w:val="center"/>
        </w:trPr>
        <w:tc>
          <w:tcPr>
            <w:tcW w:w="676" w:type="dxa"/>
          </w:tcPr>
          <w:p>
            <w:pPr>
              <w:pStyle w:val="32"/>
              <w:spacing w:before="10"/>
              <w:rPr>
                <w:color w:val="auto"/>
                <w:sz w:val="15"/>
              </w:rPr>
            </w:pPr>
          </w:p>
          <w:p>
            <w:pPr>
              <w:pStyle w:val="32"/>
              <w:ind w:left="7"/>
              <w:jc w:val="center"/>
              <w:rPr>
                <w:color w:val="auto"/>
                <w:sz w:val="21"/>
              </w:rPr>
            </w:pPr>
            <w:r>
              <w:rPr>
                <w:color w:val="auto"/>
                <w:sz w:val="21"/>
              </w:rPr>
              <w:t>7</w:t>
            </w:r>
          </w:p>
        </w:tc>
        <w:tc>
          <w:tcPr>
            <w:tcW w:w="1276" w:type="dxa"/>
          </w:tcPr>
          <w:p>
            <w:pPr>
              <w:pStyle w:val="32"/>
              <w:spacing w:before="10"/>
              <w:rPr>
                <w:color w:val="auto"/>
                <w:sz w:val="15"/>
              </w:rPr>
            </w:pPr>
          </w:p>
          <w:p>
            <w:pPr>
              <w:pStyle w:val="32"/>
              <w:ind w:left="141" w:right="137"/>
              <w:jc w:val="center"/>
              <w:rPr>
                <w:color w:val="auto"/>
                <w:sz w:val="21"/>
              </w:rPr>
            </w:pPr>
            <w:r>
              <w:rPr>
                <w:color w:val="auto"/>
                <w:sz w:val="21"/>
              </w:rPr>
              <w:t>6.2</w:t>
            </w:r>
          </w:p>
        </w:tc>
        <w:tc>
          <w:tcPr>
            <w:tcW w:w="7372" w:type="dxa"/>
            <w:vAlign w:val="center"/>
          </w:tcPr>
          <w:p>
            <w:pPr>
              <w:pStyle w:val="32"/>
              <w:tabs>
                <w:tab w:val="left" w:pos="4620"/>
              </w:tabs>
              <w:ind w:left="105"/>
              <w:jc w:val="both"/>
              <w:rPr>
                <w:rFonts w:ascii="Times New Roman" w:eastAsia="Times New Roman"/>
                <w:color w:val="auto"/>
                <w:sz w:val="21"/>
              </w:rPr>
            </w:pPr>
            <w:r>
              <w:rPr>
                <w:color w:val="auto"/>
                <w:sz w:val="21"/>
              </w:rPr>
              <w:t>发包人是否提供施工设备和临时设施：</w:t>
            </w:r>
            <w:r>
              <w:rPr>
                <w:color w:val="auto"/>
                <w:sz w:val="21"/>
                <w:u w:val="singl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9" w:hRule="atLeast"/>
          <w:jc w:val="center"/>
        </w:trPr>
        <w:tc>
          <w:tcPr>
            <w:tcW w:w="676" w:type="dxa"/>
          </w:tcPr>
          <w:p>
            <w:pPr>
              <w:pStyle w:val="32"/>
              <w:rPr>
                <w:color w:val="auto"/>
                <w:sz w:val="20"/>
              </w:rPr>
            </w:pPr>
          </w:p>
          <w:p>
            <w:pPr>
              <w:pStyle w:val="32"/>
              <w:spacing w:before="9"/>
              <w:rPr>
                <w:color w:val="auto"/>
                <w:sz w:val="27"/>
              </w:rPr>
            </w:pPr>
          </w:p>
          <w:p>
            <w:pPr>
              <w:pStyle w:val="32"/>
              <w:ind w:left="7"/>
              <w:jc w:val="center"/>
              <w:rPr>
                <w:color w:val="auto"/>
                <w:sz w:val="21"/>
              </w:rPr>
            </w:pPr>
            <w:r>
              <w:rPr>
                <w:color w:val="auto"/>
                <w:sz w:val="21"/>
              </w:rPr>
              <w:t>8</w:t>
            </w:r>
          </w:p>
        </w:tc>
        <w:tc>
          <w:tcPr>
            <w:tcW w:w="1276" w:type="dxa"/>
          </w:tcPr>
          <w:p>
            <w:pPr>
              <w:pStyle w:val="32"/>
              <w:rPr>
                <w:color w:val="auto"/>
                <w:sz w:val="20"/>
              </w:rPr>
            </w:pPr>
          </w:p>
          <w:p>
            <w:pPr>
              <w:pStyle w:val="32"/>
              <w:spacing w:before="9"/>
              <w:rPr>
                <w:color w:val="auto"/>
                <w:sz w:val="27"/>
              </w:rPr>
            </w:pPr>
          </w:p>
          <w:p>
            <w:pPr>
              <w:pStyle w:val="32"/>
              <w:ind w:left="142" w:right="137"/>
              <w:jc w:val="center"/>
              <w:rPr>
                <w:color w:val="auto"/>
                <w:sz w:val="21"/>
              </w:rPr>
            </w:pPr>
            <w:r>
              <w:rPr>
                <w:color w:val="auto"/>
                <w:sz w:val="21"/>
              </w:rPr>
              <w:t>8.1.1</w:t>
            </w:r>
          </w:p>
        </w:tc>
        <w:tc>
          <w:tcPr>
            <w:tcW w:w="7372" w:type="dxa"/>
            <w:vAlign w:val="center"/>
          </w:tcPr>
          <w:p>
            <w:pPr>
              <w:pStyle w:val="32"/>
              <w:ind w:left="105" w:right="99"/>
              <w:jc w:val="both"/>
              <w:rPr>
                <w:color w:val="auto"/>
                <w:sz w:val="21"/>
              </w:rPr>
            </w:pPr>
            <w:r>
              <w:rPr>
                <w:color w:val="auto"/>
                <w:sz w:val="21"/>
              </w:rPr>
              <w:t>发包人提供测量基准点、基准线和水准点及其书面资料的期限：</w:t>
            </w:r>
            <w:r>
              <w:rPr>
                <w:color w:val="auto"/>
                <w:sz w:val="21"/>
                <w:u w:val="single"/>
              </w:rPr>
              <w:t>在签订施工承包合同后一个月内。</w:t>
            </w:r>
          </w:p>
          <w:p>
            <w:pPr>
              <w:pStyle w:val="32"/>
              <w:ind w:left="105"/>
              <w:jc w:val="both"/>
              <w:rPr>
                <w:color w:val="auto"/>
                <w:sz w:val="21"/>
              </w:rPr>
            </w:pPr>
            <w:r>
              <w:rPr>
                <w:color w:val="auto"/>
                <w:sz w:val="21"/>
              </w:rPr>
              <w:t>承包人将施工控制网资料报送监理人审批的期限：</w:t>
            </w:r>
            <w:r>
              <w:rPr>
                <w:color w:val="auto"/>
                <w:sz w:val="21"/>
                <w:u w:val="single"/>
              </w:rPr>
              <w:t>在收到发包人提供的上述资</w:t>
            </w:r>
          </w:p>
          <w:p>
            <w:pPr>
              <w:pStyle w:val="32"/>
              <w:spacing w:before="138"/>
              <w:ind w:left="105"/>
              <w:jc w:val="both"/>
              <w:rPr>
                <w:color w:val="auto"/>
                <w:sz w:val="21"/>
              </w:rPr>
            </w:pPr>
            <w:r>
              <w:rPr>
                <w:color w:val="auto"/>
                <w:sz w:val="21"/>
                <w:u w:val="single"/>
              </w:rPr>
              <w:t>料一个月内。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676" w:type="dxa"/>
          </w:tcPr>
          <w:p>
            <w:pPr>
              <w:pStyle w:val="32"/>
              <w:ind w:left="7"/>
              <w:jc w:val="center"/>
              <w:rPr>
                <w:color w:val="auto"/>
                <w:sz w:val="21"/>
              </w:rPr>
            </w:pPr>
            <w:r>
              <w:rPr>
                <w:color w:val="auto"/>
                <w:sz w:val="21"/>
              </w:rPr>
              <w:t>9</w:t>
            </w:r>
          </w:p>
        </w:tc>
        <w:tc>
          <w:tcPr>
            <w:tcW w:w="1276" w:type="dxa"/>
          </w:tcPr>
          <w:p>
            <w:pPr>
              <w:pStyle w:val="32"/>
              <w:ind w:left="144" w:right="137"/>
              <w:jc w:val="center"/>
              <w:rPr>
                <w:color w:val="auto"/>
                <w:sz w:val="21"/>
              </w:rPr>
            </w:pPr>
            <w:r>
              <w:rPr>
                <w:color w:val="auto"/>
                <w:sz w:val="21"/>
              </w:rPr>
              <w:t>11.5（3）</w:t>
            </w:r>
          </w:p>
        </w:tc>
        <w:tc>
          <w:tcPr>
            <w:tcW w:w="7372" w:type="dxa"/>
            <w:vAlign w:val="center"/>
          </w:tcPr>
          <w:p>
            <w:pPr>
              <w:pStyle w:val="32"/>
              <w:tabs>
                <w:tab w:val="left" w:pos="2205"/>
              </w:tabs>
              <w:ind w:left="105"/>
              <w:jc w:val="both"/>
              <w:rPr>
                <w:rFonts w:hint="eastAsia" w:eastAsia="宋体"/>
                <w:color w:val="auto"/>
                <w:sz w:val="21"/>
                <w:lang w:val="en-US" w:eastAsia="zh-CN"/>
              </w:rPr>
            </w:pPr>
            <w:r>
              <w:rPr>
                <w:color w:val="auto"/>
                <w:sz w:val="21"/>
              </w:rPr>
              <w:t>逾期交工违约金：</w:t>
            </w:r>
            <w:r>
              <w:rPr>
                <w:rFonts w:hint="eastAsia"/>
                <w:color w:val="auto"/>
                <w:sz w:val="21"/>
                <w:u w:val="single"/>
                <w:lang w:val="en-US" w:eastAsia="zh-CN"/>
              </w:rPr>
              <w:t>/</w:t>
            </w:r>
            <w:r>
              <w:rPr>
                <w:color w:val="auto"/>
                <w:sz w:val="21"/>
              </w:rPr>
              <w:t>元/天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676" w:type="dxa"/>
          </w:tcPr>
          <w:p>
            <w:pPr>
              <w:pStyle w:val="32"/>
              <w:ind w:left="105" w:right="98"/>
              <w:jc w:val="center"/>
              <w:rPr>
                <w:color w:val="auto"/>
                <w:sz w:val="21"/>
              </w:rPr>
            </w:pPr>
            <w:r>
              <w:rPr>
                <w:color w:val="auto"/>
                <w:sz w:val="21"/>
              </w:rPr>
              <w:t>10</w:t>
            </w:r>
          </w:p>
        </w:tc>
        <w:tc>
          <w:tcPr>
            <w:tcW w:w="1276" w:type="dxa"/>
          </w:tcPr>
          <w:p>
            <w:pPr>
              <w:pStyle w:val="32"/>
              <w:ind w:left="144" w:right="137"/>
              <w:jc w:val="center"/>
              <w:rPr>
                <w:color w:val="auto"/>
                <w:sz w:val="21"/>
              </w:rPr>
            </w:pPr>
            <w:r>
              <w:rPr>
                <w:color w:val="auto"/>
                <w:sz w:val="21"/>
              </w:rPr>
              <w:t>11.5（3）</w:t>
            </w:r>
          </w:p>
        </w:tc>
        <w:tc>
          <w:tcPr>
            <w:tcW w:w="7372" w:type="dxa"/>
            <w:vAlign w:val="center"/>
          </w:tcPr>
          <w:p>
            <w:pPr>
              <w:pStyle w:val="32"/>
              <w:ind w:left="105"/>
              <w:jc w:val="both"/>
              <w:rPr>
                <w:color w:val="auto"/>
                <w:sz w:val="11"/>
              </w:rPr>
            </w:pPr>
            <w:r>
              <w:rPr>
                <w:color w:val="auto"/>
                <w:sz w:val="21"/>
              </w:rPr>
              <w:t>逾期交工违约金限额：</w:t>
            </w:r>
            <w:r>
              <w:rPr>
                <w:rFonts w:hint="eastAsia"/>
                <w:color w:val="auto"/>
                <w:sz w:val="21"/>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jc w:val="center"/>
        </w:trPr>
        <w:tc>
          <w:tcPr>
            <w:tcW w:w="676" w:type="dxa"/>
          </w:tcPr>
          <w:p>
            <w:pPr>
              <w:pStyle w:val="32"/>
              <w:ind w:left="104" w:right="98"/>
              <w:jc w:val="center"/>
              <w:rPr>
                <w:color w:val="auto"/>
                <w:sz w:val="21"/>
              </w:rPr>
            </w:pPr>
            <w:r>
              <w:rPr>
                <w:color w:val="auto"/>
                <w:sz w:val="21"/>
              </w:rPr>
              <w:t>11</w:t>
            </w:r>
          </w:p>
        </w:tc>
        <w:tc>
          <w:tcPr>
            <w:tcW w:w="1276" w:type="dxa"/>
          </w:tcPr>
          <w:p>
            <w:pPr>
              <w:pStyle w:val="32"/>
              <w:ind w:left="142" w:right="137"/>
              <w:jc w:val="center"/>
              <w:rPr>
                <w:color w:val="auto"/>
                <w:sz w:val="21"/>
              </w:rPr>
            </w:pPr>
            <w:r>
              <w:rPr>
                <w:color w:val="auto"/>
                <w:sz w:val="21"/>
              </w:rPr>
              <w:t>11.6</w:t>
            </w:r>
          </w:p>
        </w:tc>
        <w:tc>
          <w:tcPr>
            <w:tcW w:w="7372" w:type="dxa"/>
            <w:vAlign w:val="center"/>
          </w:tcPr>
          <w:p>
            <w:pPr>
              <w:pStyle w:val="32"/>
              <w:tabs>
                <w:tab w:val="left" w:pos="2205"/>
              </w:tabs>
              <w:ind w:left="106"/>
              <w:jc w:val="both"/>
              <w:rPr>
                <w:color w:val="auto"/>
                <w:sz w:val="11"/>
                <w:lang w:val="en-US"/>
              </w:rPr>
            </w:pPr>
            <w:r>
              <w:rPr>
                <w:color w:val="auto"/>
                <w:sz w:val="21"/>
              </w:rPr>
              <w:t>提前交工的奖金：</w:t>
            </w:r>
            <w:r>
              <w:rPr>
                <w:rFonts w:hint="eastAsia"/>
                <w:color w:val="auto"/>
                <w:sz w:val="21"/>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676" w:type="dxa"/>
          </w:tcPr>
          <w:p>
            <w:pPr>
              <w:pStyle w:val="32"/>
              <w:ind w:left="104" w:right="98"/>
              <w:jc w:val="center"/>
              <w:rPr>
                <w:color w:val="auto"/>
                <w:sz w:val="21"/>
              </w:rPr>
            </w:pPr>
            <w:r>
              <w:rPr>
                <w:color w:val="auto"/>
                <w:sz w:val="21"/>
              </w:rPr>
              <w:t>12</w:t>
            </w:r>
          </w:p>
        </w:tc>
        <w:tc>
          <w:tcPr>
            <w:tcW w:w="1276" w:type="dxa"/>
          </w:tcPr>
          <w:p>
            <w:pPr>
              <w:pStyle w:val="32"/>
              <w:ind w:left="142" w:right="137"/>
              <w:jc w:val="center"/>
              <w:rPr>
                <w:color w:val="auto"/>
                <w:sz w:val="21"/>
              </w:rPr>
            </w:pPr>
            <w:r>
              <w:rPr>
                <w:color w:val="auto"/>
                <w:sz w:val="21"/>
              </w:rPr>
              <w:t>11.6</w:t>
            </w:r>
          </w:p>
        </w:tc>
        <w:tc>
          <w:tcPr>
            <w:tcW w:w="7372" w:type="dxa"/>
            <w:vAlign w:val="center"/>
          </w:tcPr>
          <w:p>
            <w:pPr>
              <w:pStyle w:val="32"/>
              <w:tabs>
                <w:tab w:val="left" w:pos="2730"/>
              </w:tabs>
              <w:ind w:left="106"/>
              <w:jc w:val="both"/>
              <w:rPr>
                <w:color w:val="auto"/>
                <w:sz w:val="11"/>
                <w:lang w:val="en-US"/>
              </w:rPr>
            </w:pPr>
            <w:r>
              <w:rPr>
                <w:color w:val="auto"/>
                <w:sz w:val="21"/>
              </w:rPr>
              <w:t>提前交工的奖金限额</w:t>
            </w:r>
            <w:r>
              <w:rPr>
                <w:rFonts w:hint="eastAsia"/>
                <w:color w:val="auto"/>
                <w:sz w:val="21"/>
              </w:rPr>
              <w:t>：</w:t>
            </w:r>
            <w:r>
              <w:rPr>
                <w:rFonts w:hint="eastAsia"/>
                <w:color w:val="auto"/>
                <w:sz w:val="21"/>
                <w:lang w:val="en-US"/>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8" w:hRule="atLeast"/>
          <w:jc w:val="center"/>
        </w:trPr>
        <w:tc>
          <w:tcPr>
            <w:tcW w:w="676" w:type="dxa"/>
          </w:tcPr>
          <w:p>
            <w:pPr>
              <w:pStyle w:val="32"/>
              <w:spacing w:before="11"/>
              <w:rPr>
                <w:color w:val="auto"/>
                <w:sz w:val="15"/>
              </w:rPr>
            </w:pPr>
          </w:p>
          <w:p>
            <w:pPr>
              <w:pStyle w:val="32"/>
              <w:ind w:left="105" w:right="98"/>
              <w:jc w:val="center"/>
              <w:rPr>
                <w:color w:val="auto"/>
                <w:sz w:val="21"/>
              </w:rPr>
            </w:pPr>
            <w:r>
              <w:rPr>
                <w:color w:val="auto"/>
                <w:sz w:val="21"/>
              </w:rPr>
              <w:t>13</w:t>
            </w:r>
          </w:p>
        </w:tc>
        <w:tc>
          <w:tcPr>
            <w:tcW w:w="1276" w:type="dxa"/>
          </w:tcPr>
          <w:p>
            <w:pPr>
              <w:pStyle w:val="32"/>
              <w:spacing w:before="11"/>
              <w:rPr>
                <w:color w:val="auto"/>
                <w:sz w:val="15"/>
              </w:rPr>
            </w:pPr>
          </w:p>
          <w:p>
            <w:pPr>
              <w:pStyle w:val="32"/>
              <w:ind w:left="143" w:right="137"/>
              <w:jc w:val="center"/>
              <w:rPr>
                <w:color w:val="auto"/>
                <w:sz w:val="21"/>
              </w:rPr>
            </w:pPr>
            <w:r>
              <w:rPr>
                <w:color w:val="auto"/>
                <w:sz w:val="21"/>
              </w:rPr>
              <w:t>15.5.2</w:t>
            </w:r>
          </w:p>
        </w:tc>
        <w:tc>
          <w:tcPr>
            <w:tcW w:w="7372" w:type="dxa"/>
            <w:vAlign w:val="center"/>
          </w:tcPr>
          <w:p>
            <w:pPr>
              <w:pStyle w:val="32"/>
              <w:ind w:left="105"/>
              <w:jc w:val="both"/>
              <w:rPr>
                <w:color w:val="auto"/>
                <w:sz w:val="21"/>
              </w:rPr>
            </w:pPr>
            <w:r>
              <w:rPr>
                <w:color w:val="auto"/>
                <w:sz w:val="21"/>
              </w:rPr>
              <w:t>承包人提出的合理化建议降低了合同价格或者提高了工程经济效益的，发包人</w:t>
            </w:r>
          </w:p>
          <w:p>
            <w:pPr>
              <w:pStyle w:val="32"/>
              <w:spacing w:before="140"/>
              <w:ind w:left="105"/>
              <w:jc w:val="both"/>
              <w:rPr>
                <w:color w:val="auto"/>
                <w:sz w:val="21"/>
              </w:rPr>
            </w:pPr>
            <w:r>
              <w:rPr>
                <w:color w:val="auto"/>
                <w:sz w:val="21"/>
              </w:rPr>
              <w:t>按所节约成本的</w:t>
            </w:r>
            <w:r>
              <w:rPr>
                <w:color w:val="auto"/>
                <w:sz w:val="21"/>
                <w:u w:val="single"/>
              </w:rPr>
              <w:t>/</w:t>
            </w:r>
            <w:r>
              <w:rPr>
                <w:color w:val="auto"/>
                <w:sz w:val="21"/>
              </w:rPr>
              <w:t>%或增加收益的</w:t>
            </w:r>
            <w:r>
              <w:rPr>
                <w:color w:val="auto"/>
                <w:sz w:val="21"/>
                <w:u w:val="single"/>
              </w:rPr>
              <w:t>/</w:t>
            </w:r>
            <w:r>
              <w:rPr>
                <w:color w:val="auto"/>
                <w:sz w:val="21"/>
              </w:rPr>
              <w:t>%给予奖励</w:t>
            </w:r>
          </w:p>
        </w:tc>
      </w:tr>
    </w:tbl>
    <w:p>
      <w:pPr>
        <w:spacing w:line="238" w:lineRule="exact"/>
        <w:rPr>
          <w:color w:val="auto"/>
          <w:sz w:val="18"/>
        </w:rPr>
        <w:sectPr>
          <w:footerReference r:id="rId23" w:type="default"/>
          <w:pgSz w:w="11911" w:h="16838"/>
          <w:pgMar w:top="1247" w:right="1094" w:bottom="1247" w:left="1134" w:header="737" w:footer="850" w:gutter="0"/>
          <w:pgNumType w:fmt="decimal"/>
          <w:cols w:space="720" w:num="1"/>
        </w:sectPr>
      </w:pPr>
    </w:p>
    <w:p>
      <w:pPr>
        <w:pStyle w:val="13"/>
        <w:rPr>
          <w:color w:val="auto"/>
          <w:sz w:val="20"/>
        </w:rPr>
      </w:pPr>
    </w:p>
    <w:p>
      <w:pPr>
        <w:pStyle w:val="13"/>
        <w:spacing w:before="9"/>
        <w:rPr>
          <w:color w:val="auto"/>
          <w:sz w:val="16"/>
        </w:rPr>
      </w:pPr>
    </w:p>
    <w:tbl>
      <w:tblPr>
        <w:tblStyle w:val="25"/>
        <w:tblW w:w="932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76"/>
        <w:gridCol w:w="1276"/>
        <w:gridCol w:w="737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jc w:val="center"/>
        </w:trPr>
        <w:tc>
          <w:tcPr>
            <w:tcW w:w="676" w:type="dxa"/>
            <w:vAlign w:val="center"/>
          </w:tcPr>
          <w:p>
            <w:pPr>
              <w:pStyle w:val="32"/>
              <w:spacing w:before="1"/>
              <w:ind w:left="105" w:right="98"/>
              <w:jc w:val="center"/>
              <w:rPr>
                <w:b/>
                <w:color w:val="auto"/>
                <w:sz w:val="21"/>
              </w:rPr>
            </w:pPr>
            <w:r>
              <w:rPr>
                <w:b/>
                <w:color w:val="auto"/>
                <w:sz w:val="21"/>
              </w:rPr>
              <w:t>序号</w:t>
            </w:r>
          </w:p>
        </w:tc>
        <w:tc>
          <w:tcPr>
            <w:tcW w:w="1276" w:type="dxa"/>
            <w:vAlign w:val="center"/>
          </w:tcPr>
          <w:p>
            <w:pPr>
              <w:pStyle w:val="32"/>
              <w:spacing w:before="1"/>
              <w:ind w:left="319"/>
              <w:jc w:val="center"/>
              <w:rPr>
                <w:b/>
                <w:color w:val="auto"/>
                <w:sz w:val="21"/>
              </w:rPr>
            </w:pPr>
            <w:r>
              <w:rPr>
                <w:b/>
                <w:color w:val="auto"/>
                <w:sz w:val="21"/>
              </w:rPr>
              <w:t>条目号</w:t>
            </w:r>
          </w:p>
        </w:tc>
        <w:tc>
          <w:tcPr>
            <w:tcW w:w="7372" w:type="dxa"/>
            <w:vAlign w:val="center"/>
          </w:tcPr>
          <w:p>
            <w:pPr>
              <w:pStyle w:val="32"/>
              <w:spacing w:before="1"/>
              <w:ind w:left="3135" w:right="3132"/>
              <w:jc w:val="center"/>
              <w:rPr>
                <w:b/>
                <w:color w:val="auto"/>
                <w:sz w:val="21"/>
              </w:rPr>
            </w:pPr>
            <w:r>
              <w:rPr>
                <w:b/>
                <w:color w:val="auto"/>
                <w:sz w:val="21"/>
              </w:rPr>
              <w:t>信息或数据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7" w:hRule="atLeast"/>
          <w:jc w:val="center"/>
        </w:trPr>
        <w:tc>
          <w:tcPr>
            <w:tcW w:w="676" w:type="dxa"/>
            <w:vAlign w:val="center"/>
          </w:tcPr>
          <w:p>
            <w:pPr>
              <w:pStyle w:val="32"/>
              <w:ind w:left="105" w:right="98"/>
              <w:jc w:val="center"/>
              <w:rPr>
                <w:color w:val="auto"/>
                <w:sz w:val="21"/>
              </w:rPr>
            </w:pPr>
            <w:r>
              <w:rPr>
                <w:color w:val="auto"/>
                <w:sz w:val="21"/>
              </w:rPr>
              <w:t>14</w:t>
            </w:r>
          </w:p>
        </w:tc>
        <w:tc>
          <w:tcPr>
            <w:tcW w:w="1276" w:type="dxa"/>
            <w:vAlign w:val="center"/>
          </w:tcPr>
          <w:p>
            <w:pPr>
              <w:pStyle w:val="32"/>
              <w:ind w:left="425"/>
              <w:jc w:val="both"/>
              <w:rPr>
                <w:color w:val="auto"/>
                <w:sz w:val="21"/>
              </w:rPr>
            </w:pPr>
            <w:r>
              <w:rPr>
                <w:color w:val="auto"/>
                <w:sz w:val="21"/>
              </w:rPr>
              <w:t>16.1</w:t>
            </w:r>
          </w:p>
        </w:tc>
        <w:tc>
          <w:tcPr>
            <w:tcW w:w="7372" w:type="dxa"/>
            <w:vAlign w:val="center"/>
          </w:tcPr>
          <w:p>
            <w:pPr>
              <w:pStyle w:val="32"/>
              <w:spacing w:before="83" w:line="326" w:lineRule="auto"/>
              <w:ind w:left="105" w:right="209" w:firstLine="26"/>
              <w:jc w:val="both"/>
              <w:rPr>
                <w:color w:val="000000" w:themeColor="text1"/>
                <w:sz w:val="21"/>
                <w14:textFill>
                  <w14:solidFill>
                    <w14:schemeClr w14:val="tx1"/>
                  </w14:solidFill>
                </w14:textFill>
              </w:rPr>
            </w:pPr>
            <w:r>
              <w:rPr>
                <w:color w:val="000000" w:themeColor="text1"/>
                <w:sz w:val="21"/>
                <w14:textFill>
                  <w14:solidFill>
                    <w14:schemeClr w14:val="tx1"/>
                  </w14:solidFill>
                </w14:textFill>
              </w:rPr>
              <w:t>□</w:t>
            </w:r>
            <w:r>
              <w:rPr>
                <w:color w:val="000000" w:themeColor="text1"/>
                <w:spacing w:val="19"/>
                <w:sz w:val="21"/>
                <w14:textFill>
                  <w14:solidFill>
                    <w14:schemeClr w14:val="tx1"/>
                  </w14:solidFill>
                </w14:textFill>
              </w:rPr>
              <w:t>因物价波动引起的价格调整按照</w:t>
            </w:r>
            <w:r>
              <w:rPr>
                <w:color w:val="000000" w:themeColor="text1"/>
                <w:spacing w:val="-15"/>
                <w:sz w:val="21"/>
                <w:u w:val="single"/>
                <w14:textFill>
                  <w14:solidFill>
                    <w14:schemeClr w14:val="tx1"/>
                  </w14:solidFill>
                </w14:textFill>
              </w:rPr>
              <w:t>第</w:t>
            </w:r>
            <w:r>
              <w:rPr>
                <w:color w:val="000000" w:themeColor="text1"/>
                <w:spacing w:val="19"/>
                <w:sz w:val="21"/>
                <w:u w:val="single"/>
                <w14:textFill>
                  <w14:solidFill>
                    <w14:schemeClr w14:val="tx1"/>
                  </w14:solidFill>
                </w14:textFill>
              </w:rPr>
              <w:t>16.1</w:t>
            </w:r>
            <w:r>
              <w:rPr>
                <w:color w:val="000000" w:themeColor="text1"/>
                <w:spacing w:val="-43"/>
                <w:sz w:val="21"/>
                <w:u w:val="single"/>
                <w14:textFill>
                  <w14:solidFill>
                    <w14:schemeClr w14:val="tx1"/>
                  </w14:solidFill>
                </w14:textFill>
              </w:rPr>
              <w:t>.</w:t>
            </w:r>
            <w:r>
              <w:rPr>
                <w:color w:val="000000" w:themeColor="text1"/>
                <w:sz w:val="21"/>
                <w:u w:val="single"/>
                <w14:textFill>
                  <w14:solidFill>
                    <w14:schemeClr w14:val="tx1"/>
                  </w14:solidFill>
                </w14:textFill>
              </w:rPr>
              <w:t>1</w:t>
            </w:r>
            <w:r>
              <w:rPr>
                <w:color w:val="000000" w:themeColor="text1"/>
                <w:spacing w:val="-9"/>
                <w:sz w:val="21"/>
                <w:u w:val="single"/>
                <w14:textFill>
                  <w14:solidFill>
                    <w14:schemeClr w14:val="tx1"/>
                  </w14:solidFill>
                </w14:textFill>
              </w:rPr>
              <w:t>或第</w:t>
            </w:r>
            <w:r>
              <w:rPr>
                <w:color w:val="000000" w:themeColor="text1"/>
                <w:spacing w:val="19"/>
                <w:sz w:val="21"/>
                <w:u w:val="single"/>
                <w14:textFill>
                  <w14:solidFill>
                    <w14:schemeClr w14:val="tx1"/>
                  </w14:solidFill>
                </w14:textFill>
              </w:rPr>
              <w:t>16.1</w:t>
            </w:r>
            <w:r>
              <w:rPr>
                <w:color w:val="000000" w:themeColor="text1"/>
                <w:spacing w:val="-43"/>
                <w:sz w:val="21"/>
                <w:u w:val="single"/>
                <w14:textFill>
                  <w14:solidFill>
                    <w14:schemeClr w14:val="tx1"/>
                  </w14:solidFill>
                </w14:textFill>
              </w:rPr>
              <w:t>.</w:t>
            </w:r>
            <w:r>
              <w:rPr>
                <w:color w:val="000000" w:themeColor="text1"/>
                <w:sz w:val="21"/>
                <w:u w:val="single"/>
                <w14:textFill>
                  <w14:solidFill>
                    <w14:schemeClr w14:val="tx1"/>
                  </w14:solidFill>
                </w14:textFill>
              </w:rPr>
              <w:t>2</w:t>
            </w:r>
            <w:r>
              <w:rPr>
                <w:color w:val="000000" w:themeColor="text1"/>
                <w:spacing w:val="-5"/>
                <w:sz w:val="21"/>
                <w:u w:val="single"/>
                <w14:textFill>
                  <w14:solidFill>
                    <w14:schemeClr w14:val="tx1"/>
                  </w14:solidFill>
                </w14:textFill>
              </w:rPr>
              <w:t>项</w:t>
            </w:r>
            <w:r>
              <w:rPr>
                <w:color w:val="000000" w:themeColor="text1"/>
                <w:spacing w:val="19"/>
                <w:sz w:val="21"/>
                <w14:textFill>
                  <w14:solidFill>
                    <w14:schemeClr w14:val="tx1"/>
                  </w14:solidFill>
                </w14:textFill>
              </w:rPr>
              <w:t>约定的原</w:t>
            </w:r>
            <w:r>
              <w:rPr>
                <w:color w:val="000000" w:themeColor="text1"/>
                <w:spacing w:val="20"/>
                <w:sz w:val="21"/>
                <w14:textFill>
                  <w14:solidFill>
                    <w14:schemeClr w14:val="tx1"/>
                  </w14:solidFill>
                </w14:textFill>
              </w:rPr>
              <w:t>则处理</w:t>
            </w:r>
          </w:p>
          <w:p>
            <w:pPr>
              <w:pStyle w:val="32"/>
              <w:spacing w:before="7"/>
              <w:ind w:left="105"/>
              <w:jc w:val="both"/>
              <w:rPr>
                <w:color w:val="000000" w:themeColor="text1"/>
                <w:sz w:val="11"/>
                <w14:textFill>
                  <w14:solidFill>
                    <w14:schemeClr w14:val="tx1"/>
                  </w14:solidFill>
                </w14:textFill>
              </w:rPr>
            </w:pPr>
            <w:r>
              <w:rPr>
                <w:rFonts w:hint="eastAsia"/>
                <w:color w:val="000000" w:themeColor="text1"/>
                <w:sz w:val="21"/>
                <w14:textFill>
                  <w14:solidFill>
                    <w14:schemeClr w14:val="tx1"/>
                  </w14:solidFill>
                </w14:textFill>
              </w:rPr>
              <w:t>☑</w:t>
            </w:r>
            <w:r>
              <w:rPr>
                <w:color w:val="000000" w:themeColor="text1"/>
                <w:sz w:val="21"/>
                <w14:textFill>
                  <w14:solidFill>
                    <w14:schemeClr w14:val="tx1"/>
                  </w14:solidFill>
                </w14:textFill>
              </w:rPr>
              <w:t>合同期内不调价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676" w:type="dxa"/>
            <w:vAlign w:val="center"/>
          </w:tcPr>
          <w:p>
            <w:pPr>
              <w:pStyle w:val="32"/>
              <w:spacing w:before="1"/>
              <w:ind w:left="105" w:right="97"/>
              <w:jc w:val="center"/>
              <w:rPr>
                <w:color w:val="auto"/>
                <w:sz w:val="21"/>
              </w:rPr>
            </w:pPr>
            <w:r>
              <w:rPr>
                <w:color w:val="auto"/>
                <w:sz w:val="21"/>
              </w:rPr>
              <w:t>15</w:t>
            </w:r>
          </w:p>
        </w:tc>
        <w:tc>
          <w:tcPr>
            <w:tcW w:w="1276" w:type="dxa"/>
            <w:vAlign w:val="center"/>
          </w:tcPr>
          <w:p>
            <w:pPr>
              <w:pStyle w:val="32"/>
              <w:spacing w:before="1"/>
              <w:ind w:left="106"/>
              <w:jc w:val="center"/>
              <w:rPr>
                <w:color w:val="auto"/>
                <w:sz w:val="21"/>
              </w:rPr>
            </w:pPr>
            <w:r>
              <w:rPr>
                <w:color w:val="auto"/>
                <w:sz w:val="21"/>
              </w:rPr>
              <w:t>17.2.1（1）</w:t>
            </w:r>
          </w:p>
        </w:tc>
        <w:tc>
          <w:tcPr>
            <w:tcW w:w="7372" w:type="dxa"/>
            <w:vAlign w:val="center"/>
          </w:tcPr>
          <w:p>
            <w:pPr>
              <w:pStyle w:val="32"/>
              <w:spacing w:line="270" w:lineRule="exact"/>
              <w:ind w:left="105"/>
              <w:jc w:val="both"/>
              <w:rPr>
                <w:color w:val="000000" w:themeColor="text1"/>
                <w:sz w:val="11"/>
                <w14:textFill>
                  <w14:solidFill>
                    <w14:schemeClr w14:val="tx1"/>
                  </w14:solidFill>
                </w14:textFill>
              </w:rPr>
            </w:pPr>
            <w:r>
              <w:rPr>
                <w:color w:val="000000" w:themeColor="text1"/>
                <w:sz w:val="21"/>
                <w14:textFill>
                  <w14:solidFill>
                    <w14:schemeClr w14:val="tx1"/>
                  </w14:solidFill>
                </w14:textFill>
              </w:rPr>
              <w:t>开工预付款金额：</w:t>
            </w:r>
            <w:r>
              <w:rPr>
                <w:rFonts w:hint="eastAsia"/>
                <w:color w:val="000000" w:themeColor="text1"/>
                <w:sz w:val="21"/>
                <w:u w:val="single"/>
                <w:lang w:val="en-US" w:eastAsia="zh-CN"/>
                <w14:textFill>
                  <w14:solidFill>
                    <w14:schemeClr w14:val="tx1"/>
                  </w14:solidFill>
                </w14:textFill>
              </w:rPr>
              <w:t>3</w:t>
            </w:r>
            <w:r>
              <w:rPr>
                <w:color w:val="000000" w:themeColor="text1"/>
                <w:sz w:val="21"/>
                <w:u w:val="single"/>
                <w14:textFill>
                  <w14:solidFill>
                    <w14:schemeClr w14:val="tx1"/>
                  </w14:solidFill>
                </w14:textFill>
              </w:rPr>
              <w:t>0</w:t>
            </w:r>
            <w:r>
              <w:rPr>
                <w:color w:val="000000" w:themeColor="text1"/>
                <w:sz w:val="21"/>
                <w14:textFill>
                  <w14:solidFill>
                    <w14:schemeClr w14:val="tx1"/>
                  </w14:solidFill>
                </w14:textFill>
              </w:rPr>
              <w:t>%签约合同价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676" w:type="dxa"/>
            <w:vAlign w:val="center"/>
          </w:tcPr>
          <w:p>
            <w:pPr>
              <w:pStyle w:val="32"/>
              <w:spacing w:before="2"/>
              <w:ind w:left="105" w:right="97"/>
              <w:jc w:val="center"/>
              <w:rPr>
                <w:color w:val="auto"/>
                <w:sz w:val="21"/>
              </w:rPr>
            </w:pPr>
            <w:r>
              <w:rPr>
                <w:color w:val="auto"/>
                <w:sz w:val="21"/>
              </w:rPr>
              <w:t>16</w:t>
            </w:r>
          </w:p>
        </w:tc>
        <w:tc>
          <w:tcPr>
            <w:tcW w:w="1276" w:type="dxa"/>
            <w:vAlign w:val="center"/>
          </w:tcPr>
          <w:p>
            <w:pPr>
              <w:pStyle w:val="32"/>
              <w:spacing w:before="2"/>
              <w:ind w:left="106"/>
              <w:jc w:val="center"/>
              <w:rPr>
                <w:color w:val="auto"/>
                <w:sz w:val="21"/>
              </w:rPr>
            </w:pPr>
            <w:r>
              <w:rPr>
                <w:color w:val="auto"/>
                <w:sz w:val="21"/>
              </w:rPr>
              <w:t>17.2.1（2）</w:t>
            </w:r>
          </w:p>
        </w:tc>
        <w:tc>
          <w:tcPr>
            <w:tcW w:w="7372" w:type="dxa"/>
            <w:vAlign w:val="center"/>
          </w:tcPr>
          <w:p>
            <w:pPr>
              <w:pStyle w:val="32"/>
              <w:tabs>
                <w:tab w:val="left" w:pos="2731"/>
                <w:tab w:val="left" w:pos="6195"/>
              </w:tabs>
              <w:spacing w:line="271" w:lineRule="exact"/>
              <w:ind w:left="105"/>
              <w:jc w:val="both"/>
              <w:rPr>
                <w:rFonts w:hint="eastAsia" w:eastAsia="宋体"/>
                <w:color w:val="000000" w:themeColor="text1"/>
                <w:sz w:val="11"/>
                <w:lang w:eastAsia="zh-CN"/>
                <w14:textFill>
                  <w14:solidFill>
                    <w14:schemeClr w14:val="tx1"/>
                  </w14:solidFill>
                </w14:textFill>
              </w:rPr>
            </w:pPr>
            <w:r>
              <w:rPr>
                <w:color w:val="000000" w:themeColor="text1"/>
                <w:sz w:val="21"/>
                <w14:textFill>
                  <w14:solidFill>
                    <w14:schemeClr w14:val="tx1"/>
                  </w14:solidFill>
                </w14:textFill>
              </w:rPr>
              <w:t>材料、设备预付款比例：</w:t>
            </w:r>
            <w:r>
              <w:rPr>
                <w:rFonts w:hint="eastAsia"/>
                <w:color w:val="000000" w:themeColor="text1"/>
                <w:sz w:val="21"/>
                <w:u w:val="single"/>
                <w:lang w:val="en-US"/>
                <w14:textFill>
                  <w14:solidFill>
                    <w14:schemeClr w14:val="tx1"/>
                  </w14:solidFill>
                </w14:textFill>
              </w:rPr>
              <w:t>/</w:t>
            </w:r>
            <w:r>
              <w:rPr>
                <w:color w:val="000000" w:themeColor="text1"/>
                <w:sz w:val="21"/>
                <w14:textFill>
                  <w14:solidFill>
                    <w14:schemeClr w14:val="tx1"/>
                  </w14:solidFill>
                </w14:textFill>
              </w:rPr>
              <w:t>等主要材料、设备单据所列费用的</w:t>
            </w:r>
            <w:r>
              <w:rPr>
                <w:rFonts w:hint="eastAsia"/>
                <w:color w:val="000000" w:themeColor="text1"/>
                <w:sz w:val="21"/>
                <w:u w:val="single"/>
                <w:lang w:val="en-US"/>
                <w14:textFill>
                  <w14:solidFill>
                    <w14:schemeClr w14:val="tx1"/>
                  </w14:solidFill>
                </w14:textFill>
              </w:rPr>
              <w:t>/</w:t>
            </w:r>
            <w:r>
              <w:rPr>
                <w:color w:val="000000" w:themeColor="text1"/>
                <w:sz w:val="21"/>
                <w14:textFill>
                  <w14:solidFill>
                    <w14:schemeClr w14:val="tx1"/>
                  </w14:solidFill>
                </w14:textFill>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676" w:type="dxa"/>
            <w:vAlign w:val="center"/>
          </w:tcPr>
          <w:p>
            <w:pPr>
              <w:pStyle w:val="32"/>
              <w:spacing w:before="1"/>
              <w:ind w:left="105" w:right="98"/>
              <w:jc w:val="center"/>
              <w:rPr>
                <w:color w:val="auto"/>
                <w:sz w:val="21"/>
              </w:rPr>
            </w:pPr>
            <w:r>
              <w:rPr>
                <w:color w:val="auto"/>
                <w:sz w:val="21"/>
              </w:rPr>
              <w:t>17</w:t>
            </w:r>
          </w:p>
        </w:tc>
        <w:tc>
          <w:tcPr>
            <w:tcW w:w="1276" w:type="dxa"/>
            <w:vAlign w:val="center"/>
          </w:tcPr>
          <w:p>
            <w:pPr>
              <w:pStyle w:val="32"/>
              <w:spacing w:before="1"/>
              <w:ind w:left="320"/>
              <w:jc w:val="both"/>
              <w:rPr>
                <w:color w:val="auto"/>
                <w:sz w:val="21"/>
              </w:rPr>
            </w:pPr>
            <w:r>
              <w:rPr>
                <w:color w:val="auto"/>
                <w:sz w:val="21"/>
              </w:rPr>
              <w:t>17.3.2</w:t>
            </w:r>
          </w:p>
        </w:tc>
        <w:tc>
          <w:tcPr>
            <w:tcW w:w="7372" w:type="dxa"/>
            <w:vAlign w:val="center"/>
          </w:tcPr>
          <w:p>
            <w:pPr>
              <w:pStyle w:val="32"/>
              <w:spacing w:before="1"/>
              <w:ind w:left="105"/>
              <w:jc w:val="both"/>
              <w:rPr>
                <w:color w:val="000000" w:themeColor="text1"/>
                <w:sz w:val="21"/>
                <w14:textFill>
                  <w14:solidFill>
                    <w14:schemeClr w14:val="tx1"/>
                  </w14:solidFill>
                </w14:textFill>
              </w:rPr>
            </w:pPr>
            <w:r>
              <w:rPr>
                <w:color w:val="000000" w:themeColor="text1"/>
                <w:sz w:val="21"/>
                <w14:textFill>
                  <w14:solidFill>
                    <w14:schemeClr w14:val="tx1"/>
                  </w14:solidFill>
                </w14:textFill>
              </w:rPr>
              <w:t>承包人在每个付款周期末向监理人提交进度付款申请单的份数：</w:t>
            </w:r>
            <w:r>
              <w:rPr>
                <w:rFonts w:hint="eastAsia"/>
                <w:color w:val="000000" w:themeColor="text1"/>
                <w:sz w:val="21"/>
                <w:u w:val="single"/>
                <w:lang w:val="en-US"/>
                <w14:textFill>
                  <w14:solidFill>
                    <w14:schemeClr w14:val="tx1"/>
                  </w14:solidFill>
                </w14:textFill>
              </w:rPr>
              <w:t>4</w:t>
            </w:r>
            <w:r>
              <w:rPr>
                <w:color w:val="000000" w:themeColor="text1"/>
                <w:sz w:val="21"/>
                <w14:textFill>
                  <w14:solidFill>
                    <w14:schemeClr w14:val="tx1"/>
                  </w14:solidFill>
                </w14:textFill>
              </w:rPr>
              <w:t>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676" w:type="dxa"/>
            <w:vAlign w:val="center"/>
          </w:tcPr>
          <w:p>
            <w:pPr>
              <w:pStyle w:val="32"/>
              <w:spacing w:before="1"/>
              <w:ind w:left="104" w:right="98"/>
              <w:jc w:val="center"/>
              <w:rPr>
                <w:color w:val="auto"/>
                <w:sz w:val="21"/>
              </w:rPr>
            </w:pPr>
            <w:r>
              <w:rPr>
                <w:color w:val="auto"/>
                <w:sz w:val="21"/>
              </w:rPr>
              <w:t>18</w:t>
            </w:r>
          </w:p>
        </w:tc>
        <w:tc>
          <w:tcPr>
            <w:tcW w:w="1276" w:type="dxa"/>
            <w:vAlign w:val="center"/>
          </w:tcPr>
          <w:p>
            <w:pPr>
              <w:pStyle w:val="32"/>
              <w:spacing w:before="1"/>
              <w:ind w:left="163"/>
              <w:jc w:val="center"/>
              <w:rPr>
                <w:color w:val="auto"/>
                <w:sz w:val="21"/>
              </w:rPr>
            </w:pPr>
            <w:r>
              <w:rPr>
                <w:color w:val="auto"/>
                <w:sz w:val="21"/>
              </w:rPr>
              <w:t>17.3.3(1)</w:t>
            </w:r>
          </w:p>
        </w:tc>
        <w:tc>
          <w:tcPr>
            <w:tcW w:w="7372" w:type="dxa"/>
            <w:vAlign w:val="center"/>
          </w:tcPr>
          <w:p>
            <w:pPr>
              <w:pStyle w:val="32"/>
              <w:spacing w:before="1"/>
              <w:ind w:left="106"/>
              <w:jc w:val="both"/>
              <w:rPr>
                <w:color w:val="auto"/>
                <w:sz w:val="21"/>
              </w:rPr>
            </w:pPr>
            <w:r>
              <w:rPr>
                <w:color w:val="auto"/>
                <w:sz w:val="21"/>
              </w:rPr>
              <w:t>进度付款证书最低限额：</w:t>
            </w:r>
            <w:r>
              <w:rPr>
                <w:color w:val="auto"/>
                <w:sz w:val="21"/>
                <w:u w:val="single"/>
              </w:rPr>
              <w:t>50</w:t>
            </w:r>
            <w:r>
              <w:rPr>
                <w:color w:val="auto"/>
                <w:sz w:val="21"/>
              </w:rPr>
              <w:t>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6" w:hRule="atLeast"/>
          <w:jc w:val="center"/>
        </w:trPr>
        <w:tc>
          <w:tcPr>
            <w:tcW w:w="676" w:type="dxa"/>
            <w:vAlign w:val="center"/>
          </w:tcPr>
          <w:p>
            <w:pPr>
              <w:pStyle w:val="32"/>
              <w:spacing w:before="1"/>
              <w:ind w:left="104" w:right="98"/>
              <w:jc w:val="center"/>
              <w:rPr>
                <w:color w:val="auto"/>
                <w:sz w:val="21"/>
              </w:rPr>
            </w:pPr>
            <w:r>
              <w:rPr>
                <w:color w:val="auto"/>
                <w:sz w:val="21"/>
              </w:rPr>
              <w:t>19</w:t>
            </w:r>
          </w:p>
        </w:tc>
        <w:tc>
          <w:tcPr>
            <w:tcW w:w="1276" w:type="dxa"/>
            <w:vAlign w:val="center"/>
          </w:tcPr>
          <w:p>
            <w:pPr>
              <w:pStyle w:val="32"/>
              <w:spacing w:before="1"/>
              <w:ind w:left="163"/>
              <w:jc w:val="center"/>
              <w:rPr>
                <w:color w:val="auto"/>
                <w:sz w:val="21"/>
              </w:rPr>
            </w:pPr>
            <w:r>
              <w:rPr>
                <w:color w:val="auto"/>
                <w:sz w:val="21"/>
              </w:rPr>
              <w:t>17.3.3(2)</w:t>
            </w:r>
          </w:p>
        </w:tc>
        <w:tc>
          <w:tcPr>
            <w:tcW w:w="7372" w:type="dxa"/>
            <w:vAlign w:val="center"/>
          </w:tcPr>
          <w:p>
            <w:pPr>
              <w:pStyle w:val="32"/>
              <w:tabs>
                <w:tab w:val="left" w:pos="2940"/>
              </w:tabs>
              <w:spacing w:line="270" w:lineRule="exact"/>
              <w:ind w:left="106"/>
              <w:jc w:val="both"/>
              <w:rPr>
                <w:color w:val="000000" w:themeColor="text1"/>
                <w:sz w:val="11"/>
                <w14:textFill>
                  <w14:solidFill>
                    <w14:schemeClr w14:val="tx1"/>
                  </w14:solidFill>
                </w14:textFill>
              </w:rPr>
            </w:pPr>
            <w:r>
              <w:rPr>
                <w:color w:val="000000" w:themeColor="text1"/>
                <w:sz w:val="21"/>
                <w14:textFill>
                  <w14:solidFill>
                    <w14:schemeClr w14:val="tx1"/>
                  </w14:solidFill>
                </w14:textFill>
              </w:rPr>
              <w:t>逾期付款违约金的利率：</w:t>
            </w:r>
            <w:r>
              <w:rPr>
                <w:rFonts w:hint="eastAsia"/>
                <w:color w:val="000000" w:themeColor="text1"/>
                <w:sz w:val="21"/>
                <w:u w:val="single"/>
                <w:lang w:val="en-US"/>
                <w14:textFill>
                  <w14:solidFill>
                    <w14:schemeClr w14:val="tx1"/>
                  </w14:solidFill>
                </w14:textFill>
              </w:rPr>
              <w:t>/</w:t>
            </w:r>
            <w:r>
              <w:rPr>
                <w:color w:val="000000" w:themeColor="text1"/>
                <w:sz w:val="21"/>
                <w14:textFill>
                  <w14:solidFill>
                    <w14:schemeClr w14:val="tx1"/>
                  </w14:solidFill>
                </w14:textFill>
              </w:rPr>
              <w:t>‰/天</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jc w:val="center"/>
        </w:trPr>
        <w:tc>
          <w:tcPr>
            <w:tcW w:w="676" w:type="dxa"/>
            <w:vAlign w:val="center"/>
          </w:tcPr>
          <w:p>
            <w:pPr>
              <w:pStyle w:val="32"/>
              <w:spacing w:before="133"/>
              <w:ind w:left="105" w:right="98"/>
              <w:jc w:val="center"/>
              <w:rPr>
                <w:color w:val="auto"/>
                <w:sz w:val="21"/>
              </w:rPr>
            </w:pPr>
            <w:r>
              <w:rPr>
                <w:color w:val="auto"/>
                <w:sz w:val="21"/>
              </w:rPr>
              <w:t>20</w:t>
            </w:r>
          </w:p>
        </w:tc>
        <w:tc>
          <w:tcPr>
            <w:tcW w:w="1276" w:type="dxa"/>
            <w:vAlign w:val="center"/>
          </w:tcPr>
          <w:p>
            <w:pPr>
              <w:pStyle w:val="32"/>
              <w:spacing w:before="133"/>
              <w:ind w:left="320"/>
              <w:jc w:val="both"/>
              <w:rPr>
                <w:color w:val="auto"/>
                <w:sz w:val="21"/>
              </w:rPr>
            </w:pPr>
            <w:r>
              <w:rPr>
                <w:color w:val="auto"/>
                <w:sz w:val="21"/>
              </w:rPr>
              <w:t>17.4.1</w:t>
            </w:r>
          </w:p>
        </w:tc>
        <w:tc>
          <w:tcPr>
            <w:tcW w:w="7372" w:type="dxa"/>
            <w:vAlign w:val="center"/>
          </w:tcPr>
          <w:p>
            <w:pPr>
              <w:pStyle w:val="32"/>
              <w:spacing w:before="14"/>
              <w:ind w:firstLine="244" w:firstLineChars="100"/>
              <w:jc w:val="both"/>
              <w:rPr>
                <w:color w:val="000000" w:themeColor="text1"/>
                <w:spacing w:val="18"/>
                <w:sz w:val="21"/>
                <w:lang w:val="en-US"/>
                <w14:textFill>
                  <w14:solidFill>
                    <w14:schemeClr w14:val="tx1"/>
                  </w14:solidFill>
                </w14:textFill>
              </w:rPr>
            </w:pPr>
            <w:r>
              <w:rPr>
                <w:color w:val="000000" w:themeColor="text1"/>
                <w:spacing w:val="17"/>
                <w:sz w:val="21"/>
                <w14:textFill>
                  <w14:solidFill>
                    <w14:schemeClr w14:val="tx1"/>
                  </w14:solidFill>
                </w14:textFill>
              </w:rPr>
              <w:t>质量保证金限额：</w:t>
            </w:r>
            <w:r>
              <w:rPr>
                <w:rFonts w:hint="eastAsia"/>
                <w:color w:val="000000" w:themeColor="text1"/>
                <w:spacing w:val="41"/>
                <w:sz w:val="21"/>
                <w:u w:val="single"/>
                <w:lang w:val="en-US"/>
                <w14:textFill>
                  <w14:solidFill>
                    <w14:schemeClr w14:val="tx1"/>
                  </w14:solidFill>
                </w14:textFill>
              </w:rPr>
              <w:t>3</w:t>
            </w:r>
            <w:r>
              <w:rPr>
                <w:color w:val="000000" w:themeColor="text1"/>
                <w:spacing w:val="20"/>
                <w:sz w:val="21"/>
                <w14:textFill>
                  <w14:solidFill>
                    <w14:schemeClr w14:val="tx1"/>
                  </w14:solidFill>
                </w14:textFill>
              </w:rPr>
              <w:t>%合同价格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5" w:hRule="atLeast"/>
          <w:jc w:val="center"/>
        </w:trPr>
        <w:tc>
          <w:tcPr>
            <w:tcW w:w="676" w:type="dxa"/>
            <w:vAlign w:val="center"/>
          </w:tcPr>
          <w:p>
            <w:pPr>
              <w:pStyle w:val="32"/>
              <w:spacing w:before="1"/>
              <w:ind w:left="105" w:right="97"/>
              <w:jc w:val="center"/>
              <w:rPr>
                <w:color w:val="auto"/>
                <w:sz w:val="21"/>
              </w:rPr>
            </w:pPr>
            <w:r>
              <w:rPr>
                <w:color w:val="auto"/>
                <w:sz w:val="21"/>
              </w:rPr>
              <w:t>21</w:t>
            </w:r>
          </w:p>
        </w:tc>
        <w:tc>
          <w:tcPr>
            <w:tcW w:w="1276" w:type="dxa"/>
            <w:vAlign w:val="center"/>
          </w:tcPr>
          <w:p>
            <w:pPr>
              <w:pStyle w:val="32"/>
              <w:spacing w:before="1"/>
              <w:ind w:left="106"/>
              <w:jc w:val="center"/>
              <w:rPr>
                <w:color w:val="auto"/>
                <w:sz w:val="21"/>
              </w:rPr>
            </w:pPr>
            <w:r>
              <w:rPr>
                <w:color w:val="auto"/>
                <w:sz w:val="21"/>
              </w:rPr>
              <w:t>17.5.1（1）</w:t>
            </w:r>
          </w:p>
        </w:tc>
        <w:tc>
          <w:tcPr>
            <w:tcW w:w="7372" w:type="dxa"/>
            <w:vAlign w:val="center"/>
          </w:tcPr>
          <w:p>
            <w:pPr>
              <w:pStyle w:val="32"/>
              <w:tabs>
                <w:tab w:val="left" w:pos="6614"/>
              </w:tabs>
              <w:spacing w:before="1"/>
              <w:ind w:left="105"/>
              <w:jc w:val="both"/>
              <w:rPr>
                <w:color w:val="auto"/>
                <w:sz w:val="21"/>
              </w:rPr>
            </w:pPr>
            <w:r>
              <w:rPr>
                <w:color w:val="auto"/>
                <w:sz w:val="21"/>
              </w:rPr>
              <w:t>承包人向监理人提交交工付款申请单(包括相关证明材料)的份数：</w:t>
            </w:r>
            <w:r>
              <w:rPr>
                <w:rFonts w:hint="eastAsia"/>
                <w:color w:val="auto"/>
                <w:sz w:val="21"/>
                <w:u w:val="single"/>
                <w:lang w:val="en-US"/>
              </w:rPr>
              <w:t>4</w:t>
            </w:r>
            <w:r>
              <w:rPr>
                <w:color w:val="auto"/>
                <w:sz w:val="21"/>
                <w:u w:val="single"/>
              </w:rPr>
              <w:tab/>
            </w:r>
            <w:r>
              <w:rPr>
                <w:color w:val="auto"/>
                <w:sz w:val="21"/>
              </w:rPr>
              <w:t>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5" w:hRule="atLeast"/>
          <w:jc w:val="center"/>
        </w:trPr>
        <w:tc>
          <w:tcPr>
            <w:tcW w:w="676" w:type="dxa"/>
            <w:vAlign w:val="center"/>
          </w:tcPr>
          <w:p>
            <w:pPr>
              <w:pStyle w:val="32"/>
              <w:spacing w:before="1"/>
              <w:ind w:left="105" w:right="97"/>
              <w:jc w:val="center"/>
              <w:rPr>
                <w:color w:val="auto"/>
                <w:sz w:val="21"/>
              </w:rPr>
            </w:pPr>
            <w:r>
              <w:rPr>
                <w:color w:val="auto"/>
                <w:sz w:val="21"/>
              </w:rPr>
              <w:t>22</w:t>
            </w:r>
          </w:p>
        </w:tc>
        <w:tc>
          <w:tcPr>
            <w:tcW w:w="1276" w:type="dxa"/>
            <w:vAlign w:val="center"/>
          </w:tcPr>
          <w:p>
            <w:pPr>
              <w:pStyle w:val="32"/>
              <w:spacing w:before="1"/>
              <w:ind w:left="106"/>
              <w:jc w:val="center"/>
              <w:rPr>
                <w:color w:val="auto"/>
                <w:sz w:val="21"/>
              </w:rPr>
            </w:pPr>
            <w:r>
              <w:rPr>
                <w:color w:val="auto"/>
                <w:sz w:val="21"/>
              </w:rPr>
              <w:t>17.6.1（1）</w:t>
            </w:r>
          </w:p>
        </w:tc>
        <w:tc>
          <w:tcPr>
            <w:tcW w:w="7372" w:type="dxa"/>
            <w:vAlign w:val="center"/>
          </w:tcPr>
          <w:p>
            <w:pPr>
              <w:pStyle w:val="32"/>
              <w:tabs>
                <w:tab w:val="left" w:pos="6614"/>
              </w:tabs>
              <w:spacing w:before="1"/>
              <w:ind w:left="105"/>
              <w:jc w:val="both"/>
              <w:rPr>
                <w:color w:val="auto"/>
                <w:sz w:val="21"/>
              </w:rPr>
            </w:pPr>
            <w:r>
              <w:rPr>
                <w:color w:val="auto"/>
                <w:sz w:val="21"/>
              </w:rPr>
              <w:t>承包人向监理人提交最终结清申请单(包括相关证明材料)的份数：</w:t>
            </w:r>
            <w:r>
              <w:rPr>
                <w:rFonts w:hint="eastAsia"/>
                <w:color w:val="auto"/>
                <w:sz w:val="21"/>
                <w:u w:val="single"/>
                <w:lang w:val="en-US"/>
              </w:rPr>
              <w:t>4</w:t>
            </w:r>
            <w:r>
              <w:rPr>
                <w:color w:val="auto"/>
                <w:sz w:val="21"/>
                <w:u w:val="single"/>
              </w:rPr>
              <w:tab/>
            </w:r>
            <w:r>
              <w:rPr>
                <w:color w:val="auto"/>
                <w:sz w:val="21"/>
              </w:rPr>
              <w:t>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2" w:hRule="atLeast"/>
          <w:jc w:val="center"/>
        </w:trPr>
        <w:tc>
          <w:tcPr>
            <w:tcW w:w="676" w:type="dxa"/>
            <w:vAlign w:val="center"/>
          </w:tcPr>
          <w:p>
            <w:pPr>
              <w:pStyle w:val="32"/>
              <w:spacing w:before="1"/>
              <w:ind w:left="105" w:right="98"/>
              <w:jc w:val="center"/>
              <w:rPr>
                <w:color w:val="auto"/>
                <w:sz w:val="21"/>
              </w:rPr>
            </w:pPr>
            <w:r>
              <w:rPr>
                <w:color w:val="auto"/>
                <w:sz w:val="21"/>
              </w:rPr>
              <w:t>23</w:t>
            </w:r>
          </w:p>
        </w:tc>
        <w:tc>
          <w:tcPr>
            <w:tcW w:w="1276" w:type="dxa"/>
            <w:vAlign w:val="center"/>
          </w:tcPr>
          <w:p>
            <w:pPr>
              <w:pStyle w:val="32"/>
              <w:spacing w:before="1"/>
              <w:ind w:left="164"/>
              <w:jc w:val="center"/>
              <w:rPr>
                <w:color w:val="auto"/>
                <w:sz w:val="21"/>
              </w:rPr>
            </w:pPr>
            <w:r>
              <w:rPr>
                <w:color w:val="auto"/>
                <w:sz w:val="21"/>
              </w:rPr>
              <w:t>18.2（1）</w:t>
            </w:r>
          </w:p>
        </w:tc>
        <w:tc>
          <w:tcPr>
            <w:tcW w:w="7372" w:type="dxa"/>
            <w:vAlign w:val="center"/>
          </w:tcPr>
          <w:p>
            <w:pPr>
              <w:pStyle w:val="32"/>
              <w:tabs>
                <w:tab w:val="left" w:pos="2415"/>
              </w:tabs>
              <w:spacing w:before="1"/>
              <w:ind w:left="105"/>
              <w:jc w:val="both"/>
              <w:rPr>
                <w:color w:val="auto"/>
                <w:sz w:val="21"/>
              </w:rPr>
            </w:pPr>
            <w:r>
              <w:rPr>
                <w:color w:val="auto"/>
                <w:sz w:val="21"/>
              </w:rPr>
              <w:t>竣工资料的份数：</w:t>
            </w:r>
            <w:r>
              <w:rPr>
                <w:rFonts w:hint="eastAsia"/>
                <w:color w:val="auto"/>
                <w:sz w:val="21"/>
                <w:u w:val="single"/>
                <w:lang w:val="en-US"/>
              </w:rPr>
              <w:t>6</w:t>
            </w:r>
            <w:r>
              <w:rPr>
                <w:color w:val="auto"/>
                <w:sz w:val="21"/>
              </w:rPr>
              <w:t>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0" w:hRule="atLeast"/>
          <w:jc w:val="center"/>
        </w:trPr>
        <w:tc>
          <w:tcPr>
            <w:tcW w:w="676" w:type="dxa"/>
            <w:vAlign w:val="center"/>
          </w:tcPr>
          <w:p>
            <w:pPr>
              <w:pStyle w:val="32"/>
              <w:spacing w:before="154"/>
              <w:ind w:left="105" w:right="98"/>
              <w:jc w:val="center"/>
              <w:rPr>
                <w:color w:val="auto"/>
                <w:sz w:val="21"/>
              </w:rPr>
            </w:pPr>
            <w:r>
              <w:rPr>
                <w:color w:val="auto"/>
                <w:sz w:val="21"/>
              </w:rPr>
              <w:t>24</w:t>
            </w:r>
          </w:p>
        </w:tc>
        <w:tc>
          <w:tcPr>
            <w:tcW w:w="1276" w:type="dxa"/>
            <w:vAlign w:val="center"/>
          </w:tcPr>
          <w:p>
            <w:pPr>
              <w:pStyle w:val="32"/>
              <w:spacing w:before="154"/>
              <w:ind w:left="320"/>
              <w:jc w:val="both"/>
              <w:rPr>
                <w:color w:val="auto"/>
                <w:sz w:val="21"/>
              </w:rPr>
            </w:pPr>
            <w:r>
              <w:rPr>
                <w:color w:val="auto"/>
                <w:sz w:val="21"/>
              </w:rPr>
              <w:t>18.5.1</w:t>
            </w:r>
          </w:p>
        </w:tc>
        <w:tc>
          <w:tcPr>
            <w:tcW w:w="7372" w:type="dxa"/>
            <w:vAlign w:val="center"/>
          </w:tcPr>
          <w:p>
            <w:pPr>
              <w:pStyle w:val="32"/>
              <w:spacing w:before="2"/>
              <w:ind w:left="105"/>
              <w:jc w:val="both"/>
              <w:rPr>
                <w:rFonts w:hint="eastAsia" w:ascii="Times New Roman" w:eastAsia="宋体"/>
                <w:color w:val="auto"/>
                <w:sz w:val="21"/>
                <w:lang w:eastAsia="zh-CN"/>
              </w:rPr>
            </w:pPr>
            <w:r>
              <w:rPr>
                <w:color w:val="auto"/>
                <w:sz w:val="21"/>
              </w:rPr>
              <w:t>单位工程或工程设备是否需投入施工期运行：</w:t>
            </w:r>
            <w:r>
              <w:rPr>
                <w:color w:val="auto"/>
                <w:sz w:val="21"/>
                <w:u w:val="singl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08" w:hRule="atLeast"/>
          <w:jc w:val="center"/>
        </w:trPr>
        <w:tc>
          <w:tcPr>
            <w:tcW w:w="676" w:type="dxa"/>
            <w:vAlign w:val="center"/>
          </w:tcPr>
          <w:p>
            <w:pPr>
              <w:pStyle w:val="32"/>
              <w:ind w:left="105" w:right="98"/>
              <w:jc w:val="center"/>
              <w:rPr>
                <w:color w:val="auto"/>
                <w:sz w:val="21"/>
              </w:rPr>
            </w:pPr>
            <w:r>
              <w:rPr>
                <w:color w:val="auto"/>
                <w:sz w:val="21"/>
              </w:rPr>
              <w:t>25</w:t>
            </w:r>
          </w:p>
        </w:tc>
        <w:tc>
          <w:tcPr>
            <w:tcW w:w="1276" w:type="dxa"/>
            <w:vAlign w:val="center"/>
          </w:tcPr>
          <w:p>
            <w:pPr>
              <w:pStyle w:val="32"/>
              <w:ind w:left="320"/>
              <w:jc w:val="both"/>
              <w:rPr>
                <w:color w:val="auto"/>
                <w:sz w:val="21"/>
              </w:rPr>
            </w:pPr>
            <w:r>
              <w:rPr>
                <w:color w:val="auto"/>
                <w:sz w:val="21"/>
              </w:rPr>
              <w:t>18.6.1</w:t>
            </w:r>
          </w:p>
        </w:tc>
        <w:tc>
          <w:tcPr>
            <w:tcW w:w="7372" w:type="dxa"/>
            <w:vAlign w:val="center"/>
          </w:tcPr>
          <w:p>
            <w:pPr>
              <w:pStyle w:val="32"/>
              <w:spacing w:before="1"/>
              <w:ind w:left="105"/>
              <w:jc w:val="both"/>
              <w:rPr>
                <w:rFonts w:hint="eastAsia" w:ascii="Times New Roman" w:eastAsia="宋体"/>
                <w:color w:val="auto"/>
                <w:sz w:val="21"/>
                <w:lang w:val="en-US" w:eastAsia="zh-CN"/>
              </w:rPr>
            </w:pPr>
            <w:r>
              <w:rPr>
                <w:color w:val="auto"/>
                <w:sz w:val="21"/>
              </w:rPr>
              <w:t>本工程及工程设备是否进行试运行：</w:t>
            </w:r>
            <w:r>
              <w:rPr>
                <w:color w:val="auto"/>
                <w:sz w:val="21"/>
                <w:u w:val="single"/>
              </w:rPr>
              <w:t>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8" w:hRule="atLeast"/>
          <w:jc w:val="center"/>
        </w:trPr>
        <w:tc>
          <w:tcPr>
            <w:tcW w:w="676" w:type="dxa"/>
            <w:vAlign w:val="center"/>
          </w:tcPr>
          <w:p>
            <w:pPr>
              <w:pStyle w:val="32"/>
              <w:spacing w:before="2"/>
              <w:ind w:left="105" w:right="98"/>
              <w:jc w:val="center"/>
              <w:rPr>
                <w:color w:val="auto"/>
                <w:sz w:val="21"/>
              </w:rPr>
            </w:pPr>
            <w:r>
              <w:rPr>
                <w:color w:val="auto"/>
                <w:sz w:val="21"/>
              </w:rPr>
              <w:t>26</w:t>
            </w:r>
          </w:p>
        </w:tc>
        <w:tc>
          <w:tcPr>
            <w:tcW w:w="1276" w:type="dxa"/>
            <w:vAlign w:val="center"/>
          </w:tcPr>
          <w:p>
            <w:pPr>
              <w:pStyle w:val="32"/>
              <w:spacing w:before="2"/>
              <w:ind w:left="164"/>
              <w:jc w:val="center"/>
              <w:rPr>
                <w:color w:val="auto"/>
                <w:sz w:val="21"/>
              </w:rPr>
            </w:pPr>
            <w:r>
              <w:rPr>
                <w:color w:val="auto"/>
                <w:sz w:val="21"/>
              </w:rPr>
              <w:t>19.7（1）</w:t>
            </w:r>
          </w:p>
        </w:tc>
        <w:tc>
          <w:tcPr>
            <w:tcW w:w="7372" w:type="dxa"/>
            <w:vAlign w:val="center"/>
          </w:tcPr>
          <w:p>
            <w:pPr>
              <w:pStyle w:val="32"/>
              <w:spacing w:line="271" w:lineRule="exact"/>
              <w:ind w:left="105"/>
              <w:jc w:val="both"/>
              <w:rPr>
                <w:color w:val="auto"/>
                <w:sz w:val="11"/>
              </w:rPr>
            </w:pPr>
            <w:r>
              <w:rPr>
                <w:color w:val="auto"/>
                <w:sz w:val="21"/>
              </w:rPr>
              <w:t>保修期：自实际交工日期起计算</w:t>
            </w:r>
            <w:r>
              <w:rPr>
                <w:rFonts w:hint="eastAsia"/>
                <w:color w:val="auto"/>
                <w:sz w:val="21"/>
                <w:u w:val="single"/>
                <w:lang w:val="en-US" w:eastAsia="zh-CN"/>
              </w:rPr>
              <w:t>5</w:t>
            </w:r>
            <w:r>
              <w:rPr>
                <w:color w:val="auto"/>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jc w:val="center"/>
        </w:trPr>
        <w:tc>
          <w:tcPr>
            <w:tcW w:w="676" w:type="dxa"/>
            <w:vAlign w:val="center"/>
          </w:tcPr>
          <w:p>
            <w:pPr>
              <w:pStyle w:val="32"/>
              <w:ind w:left="105" w:right="97"/>
              <w:jc w:val="center"/>
              <w:rPr>
                <w:color w:val="auto"/>
                <w:sz w:val="21"/>
              </w:rPr>
            </w:pPr>
            <w:r>
              <w:rPr>
                <w:color w:val="auto"/>
                <w:sz w:val="21"/>
              </w:rPr>
              <w:t>27</w:t>
            </w:r>
          </w:p>
        </w:tc>
        <w:tc>
          <w:tcPr>
            <w:tcW w:w="1276" w:type="dxa"/>
            <w:vAlign w:val="center"/>
          </w:tcPr>
          <w:p>
            <w:pPr>
              <w:pStyle w:val="32"/>
              <w:spacing w:before="1"/>
              <w:ind w:left="143" w:right="137"/>
              <w:jc w:val="center"/>
              <w:rPr>
                <w:color w:val="auto"/>
                <w:sz w:val="21"/>
              </w:rPr>
            </w:pPr>
            <w:r>
              <w:rPr>
                <w:color w:val="auto"/>
                <w:sz w:val="21"/>
              </w:rPr>
              <w:t>20.1</w:t>
            </w:r>
          </w:p>
          <w:p>
            <w:pPr>
              <w:pStyle w:val="32"/>
              <w:spacing w:before="140"/>
              <w:ind w:left="144" w:right="137"/>
              <w:jc w:val="center"/>
              <w:rPr>
                <w:color w:val="auto"/>
                <w:sz w:val="21"/>
              </w:rPr>
            </w:pPr>
            <w:r>
              <w:rPr>
                <w:color w:val="auto"/>
                <w:sz w:val="21"/>
              </w:rPr>
              <w:t>20.4.2</w:t>
            </w:r>
          </w:p>
        </w:tc>
        <w:tc>
          <w:tcPr>
            <w:tcW w:w="7372" w:type="dxa"/>
            <w:vAlign w:val="center"/>
          </w:tcPr>
          <w:p>
            <w:pPr>
              <w:pStyle w:val="32"/>
              <w:tabs>
                <w:tab w:val="left" w:pos="4725"/>
              </w:tabs>
              <w:spacing w:before="1"/>
              <w:ind w:left="105"/>
              <w:jc w:val="both"/>
              <w:rPr>
                <w:color w:val="auto"/>
                <w:sz w:val="21"/>
              </w:rPr>
            </w:pPr>
            <w:r>
              <w:rPr>
                <w:color w:val="auto"/>
                <w:sz w:val="21"/>
              </w:rPr>
              <w:t>建筑工程一切险及第三者责任险的保险费率：</w:t>
            </w:r>
            <w:r>
              <w:rPr>
                <w:rFonts w:hint="eastAsia"/>
                <w:color w:val="auto"/>
                <w:sz w:val="21"/>
                <w:u w:val="single"/>
                <w:lang w:val="en-US"/>
              </w:rPr>
              <w:t>4.5</w:t>
            </w:r>
            <w:r>
              <w:rPr>
                <w:color w:val="auto"/>
                <w:sz w:val="21"/>
                <w:u w:val="single"/>
              </w:rPr>
              <w:tab/>
            </w:r>
            <w:r>
              <w:rPr>
                <w:color w:val="auto"/>
                <w:sz w:val="21"/>
              </w:rPr>
              <w:t>‰；</w:t>
            </w:r>
          </w:p>
          <w:p>
            <w:pPr>
              <w:pStyle w:val="32"/>
              <w:tabs>
                <w:tab w:val="left" w:pos="3570"/>
              </w:tabs>
              <w:spacing w:before="140"/>
              <w:ind w:left="105"/>
              <w:jc w:val="both"/>
              <w:rPr>
                <w:color w:val="auto"/>
                <w:sz w:val="21"/>
              </w:rPr>
            </w:pPr>
            <w:r>
              <w:rPr>
                <w:color w:val="auto"/>
                <w:sz w:val="21"/>
              </w:rPr>
              <w:t>第三者责任险的最低投保金额：</w:t>
            </w:r>
            <w:r>
              <w:rPr>
                <w:rFonts w:hint="eastAsia"/>
                <w:color w:val="auto"/>
                <w:sz w:val="21"/>
                <w:u w:val="single"/>
                <w:lang w:val="en-US"/>
              </w:rPr>
              <w:t>100</w:t>
            </w:r>
            <w:r>
              <w:rPr>
                <w:color w:val="auto"/>
                <w:sz w:val="21"/>
              </w:rPr>
              <w:t>万元，事故次数不限(不计免赔额)</w:t>
            </w:r>
          </w:p>
          <w:p>
            <w:pPr>
              <w:pStyle w:val="32"/>
              <w:tabs>
                <w:tab w:val="left" w:pos="3570"/>
              </w:tabs>
              <w:spacing w:before="140"/>
              <w:ind w:left="105"/>
              <w:jc w:val="both"/>
              <w:rPr>
                <w:color w:val="auto"/>
                <w:sz w:val="21"/>
              </w:rPr>
            </w:pPr>
            <w:r>
              <w:rPr>
                <w:rFonts w:hint="eastAsia"/>
                <w:color w:val="auto"/>
                <w:sz w:val="21"/>
              </w:rPr>
              <w:t>工人工伤保险以建设项目为单位参保，按照项目工程总造价的一定比例计算缴纳工伤保险费。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7" w:hRule="atLeast"/>
          <w:jc w:val="center"/>
        </w:trPr>
        <w:tc>
          <w:tcPr>
            <w:tcW w:w="676" w:type="dxa"/>
            <w:vAlign w:val="center"/>
          </w:tcPr>
          <w:p>
            <w:pPr>
              <w:pStyle w:val="32"/>
              <w:ind w:left="105" w:right="98"/>
              <w:jc w:val="center"/>
              <w:rPr>
                <w:color w:val="auto"/>
                <w:sz w:val="21"/>
              </w:rPr>
            </w:pPr>
            <w:r>
              <w:rPr>
                <w:color w:val="auto"/>
                <w:sz w:val="21"/>
              </w:rPr>
              <w:t>28</w:t>
            </w:r>
          </w:p>
        </w:tc>
        <w:tc>
          <w:tcPr>
            <w:tcW w:w="1276" w:type="dxa"/>
            <w:vAlign w:val="center"/>
          </w:tcPr>
          <w:p>
            <w:pPr>
              <w:pStyle w:val="32"/>
              <w:ind w:left="425"/>
              <w:jc w:val="both"/>
              <w:rPr>
                <w:color w:val="auto"/>
                <w:sz w:val="21"/>
              </w:rPr>
            </w:pPr>
            <w:r>
              <w:rPr>
                <w:color w:val="auto"/>
                <w:sz w:val="21"/>
              </w:rPr>
              <w:t>24.1</w:t>
            </w:r>
          </w:p>
        </w:tc>
        <w:tc>
          <w:tcPr>
            <w:tcW w:w="7372" w:type="dxa"/>
            <w:vAlign w:val="center"/>
          </w:tcPr>
          <w:p>
            <w:pPr>
              <w:pStyle w:val="32"/>
              <w:tabs>
                <w:tab w:val="left" w:pos="3045"/>
                <w:tab w:val="left" w:pos="3885"/>
              </w:tabs>
              <w:spacing w:before="2"/>
              <w:ind w:left="105"/>
              <w:jc w:val="both"/>
              <w:rPr>
                <w:color w:val="auto"/>
                <w:sz w:val="21"/>
              </w:rPr>
            </w:pPr>
            <w:r>
              <w:rPr>
                <w:color w:val="auto"/>
                <w:sz w:val="21"/>
              </w:rPr>
              <w:t>争议的最终解决方式：</w:t>
            </w:r>
            <w:r>
              <w:rPr>
                <w:color w:val="auto"/>
                <w:sz w:val="21"/>
                <w:u w:val="single"/>
              </w:rPr>
              <w:t>仲裁</w:t>
            </w:r>
            <w:r>
              <w:rPr>
                <w:color w:val="auto"/>
                <w:sz w:val="21"/>
              </w:rPr>
              <w:t>。</w:t>
            </w:r>
          </w:p>
          <w:p>
            <w:pPr>
              <w:pStyle w:val="32"/>
              <w:spacing w:before="139"/>
              <w:ind w:left="105"/>
              <w:jc w:val="both"/>
              <w:rPr>
                <w:color w:val="auto"/>
                <w:sz w:val="21"/>
              </w:rPr>
            </w:pPr>
            <w:r>
              <w:rPr>
                <w:color w:val="auto"/>
                <w:spacing w:val="-8"/>
                <w:sz w:val="21"/>
              </w:rPr>
              <w:t>如采用仲裁，仲裁委员会名称：</w:t>
            </w:r>
            <w:r>
              <w:rPr>
                <w:rFonts w:hint="eastAsia"/>
                <w:color w:val="auto"/>
                <w:spacing w:val="-8"/>
                <w:sz w:val="21"/>
                <w:u w:val="single"/>
                <w:lang w:val="en-US" w:eastAsia="zh-CN"/>
              </w:rPr>
              <w:t>陆丰市</w:t>
            </w:r>
            <w:r>
              <w:rPr>
                <w:color w:val="auto"/>
                <w:sz w:val="21"/>
                <w:u w:val="single"/>
              </w:rPr>
              <w:t>仲裁委员会。</w:t>
            </w:r>
          </w:p>
        </w:tc>
      </w:tr>
    </w:tbl>
    <w:p>
      <w:pPr>
        <w:spacing w:line="238" w:lineRule="exact"/>
        <w:rPr>
          <w:color w:val="auto"/>
          <w:sz w:val="18"/>
        </w:rPr>
        <w:sectPr>
          <w:pgSz w:w="11911" w:h="16838"/>
          <w:pgMar w:top="1247" w:right="1094" w:bottom="1247" w:left="1134" w:header="737" w:footer="850" w:gutter="0"/>
          <w:pgNumType w:fmt="decimal"/>
          <w:cols w:space="720" w:num="1"/>
        </w:sectPr>
      </w:pPr>
    </w:p>
    <w:p>
      <w:pPr>
        <w:pStyle w:val="13"/>
        <w:rPr>
          <w:color w:val="auto"/>
          <w:sz w:val="20"/>
        </w:rPr>
      </w:pPr>
    </w:p>
    <w:p>
      <w:pPr>
        <w:pStyle w:val="9"/>
        <w:spacing w:before="61"/>
        <w:ind w:left="3850"/>
        <w:rPr>
          <w:b/>
          <w:bCs/>
          <w:color w:val="auto"/>
        </w:rPr>
      </w:pPr>
      <w:r>
        <w:rPr>
          <w:b/>
          <w:bCs/>
          <w:color w:val="auto"/>
          <w:sz w:val="32"/>
          <w:szCs w:val="32"/>
        </w:rPr>
        <w:t>项目专用合同条款</w:t>
      </w:r>
    </w:p>
    <w:p>
      <w:pPr>
        <w:pStyle w:val="13"/>
        <w:rPr>
          <w:color w:val="auto"/>
          <w:sz w:val="11"/>
          <w:szCs w:val="6"/>
        </w:rPr>
      </w:pPr>
    </w:p>
    <w:p>
      <w:pPr>
        <w:pStyle w:val="10"/>
        <w:spacing w:before="153" w:line="350" w:lineRule="exact"/>
        <w:ind w:left="0" w:leftChars="0" w:firstLine="0" w:firstLineChars="0"/>
        <w:rPr>
          <w:b/>
          <w:bCs/>
          <w:color w:val="auto"/>
        </w:rPr>
      </w:pPr>
      <w:r>
        <w:rPr>
          <w:b/>
          <w:bCs/>
          <w:color w:val="auto"/>
        </w:rPr>
        <w:t>1、一般约定</w:t>
      </w:r>
    </w:p>
    <w:p>
      <w:pPr>
        <w:pStyle w:val="13"/>
        <w:spacing w:before="159" w:line="350" w:lineRule="exact"/>
        <w:ind w:firstLine="422" w:firstLineChars="200"/>
        <w:rPr>
          <w:b/>
          <w:bCs/>
          <w:color w:val="auto"/>
        </w:rPr>
      </w:pPr>
      <w:r>
        <w:rPr>
          <w:b/>
          <w:bCs/>
          <w:color w:val="auto"/>
        </w:rPr>
        <w:t>1.6图纸和承包人文件</w:t>
      </w:r>
    </w:p>
    <w:p>
      <w:pPr>
        <w:pStyle w:val="13"/>
        <w:spacing w:before="139" w:line="350" w:lineRule="exact"/>
        <w:ind w:firstLine="420" w:firstLineChars="200"/>
        <w:rPr>
          <w:color w:val="auto"/>
        </w:rPr>
      </w:pPr>
      <w:r>
        <w:rPr>
          <w:color w:val="auto"/>
        </w:rPr>
        <w:t>1.6.3图纸的修改在第1.6.3款原文后增加一个段落：</w:t>
      </w:r>
    </w:p>
    <w:p>
      <w:pPr>
        <w:pStyle w:val="13"/>
        <w:spacing w:before="139" w:line="360" w:lineRule="auto"/>
        <w:ind w:firstLine="420" w:firstLineChars="200"/>
        <w:rPr>
          <w:color w:val="auto"/>
        </w:rPr>
      </w:pPr>
      <w:r>
        <w:rPr>
          <w:color w:val="auto"/>
        </w:rPr>
        <w:t>没有监理人的批准，承包人不得对施工图的任何部分进行修改，否则按22.1款承包人违约处理。</w:t>
      </w:r>
    </w:p>
    <w:p>
      <w:pPr>
        <w:pStyle w:val="10"/>
        <w:spacing w:line="360" w:lineRule="auto"/>
        <w:ind w:left="0" w:leftChars="0" w:firstLine="0" w:firstLineChars="0"/>
        <w:rPr>
          <w:b/>
          <w:bCs/>
          <w:color w:val="auto"/>
        </w:rPr>
      </w:pPr>
      <w:r>
        <w:rPr>
          <w:b/>
          <w:bCs/>
          <w:color w:val="auto"/>
        </w:rPr>
        <w:t>2</w:t>
      </w:r>
      <w:r>
        <w:rPr>
          <w:rFonts w:hint="eastAsia"/>
          <w:b/>
          <w:bCs/>
          <w:color w:val="auto"/>
          <w:lang w:eastAsia="zh-CN"/>
        </w:rPr>
        <w:t>、</w:t>
      </w:r>
      <w:r>
        <w:rPr>
          <w:b/>
          <w:bCs/>
          <w:color w:val="auto"/>
        </w:rPr>
        <w:t>发包人义务</w:t>
      </w:r>
    </w:p>
    <w:p>
      <w:pPr>
        <w:pStyle w:val="13"/>
        <w:spacing w:before="159" w:line="360" w:lineRule="auto"/>
        <w:ind w:left="438"/>
        <w:rPr>
          <w:b/>
          <w:bCs/>
          <w:color w:val="auto"/>
        </w:rPr>
      </w:pPr>
      <w:r>
        <w:rPr>
          <w:b/>
          <w:bCs/>
          <w:color w:val="auto"/>
        </w:rPr>
        <w:t>2.3</w:t>
      </w:r>
      <w:r>
        <w:rPr>
          <w:b/>
          <w:bCs/>
          <w:color w:val="auto"/>
          <w:spacing w:val="-1"/>
        </w:rPr>
        <w:t>提供施工场地</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本款最后一段修改如下：</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如果由于发包人未能按照本款规定办妥永久占地征用手续，影响承包人工程的施工，承包人须及时调整工程施工组织安排并报监理人批准，合理组织和安排工程施工。因此导致承包人延误工期或增加费用时，发包人可适当延长工期作为补偿和（或）经济补偿。（补偿原则详见本项目专用合同条款11.3款）。</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但如果由于承包人未能按照本款规定提交占地计划，因而影响发包人办理永久工程占地征用手续而导致延误工期或增加费用，则由承包人自行负责。</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第2.8款细化为：</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1、发包人不提供进出施工现场的水、陆交通通道，不提供水、电、通讯的接入点及施工船舶临时停泊水域及停靠码头，由承包人自行落实解决，相关费用已包含在合同价格中，发包人不另行支付。</w:t>
      </w:r>
    </w:p>
    <w:p>
      <w:pPr>
        <w:pStyle w:val="31"/>
        <w:numPr>
          <w:ilvl w:val="0"/>
          <w:numId w:val="0"/>
        </w:numPr>
        <w:tabs>
          <w:tab w:val="left" w:pos="1492"/>
        </w:tabs>
        <w:spacing w:before="140" w:line="364" w:lineRule="auto"/>
        <w:ind w:right="-37" w:rightChars="0" w:firstLine="416" w:firstLineChars="200"/>
        <w:jc w:val="both"/>
        <w:rPr>
          <w:color w:val="auto"/>
          <w:spacing w:val="-1"/>
          <w:sz w:val="21"/>
        </w:rPr>
      </w:pPr>
      <w:r>
        <w:rPr>
          <w:color w:val="auto"/>
          <w:spacing w:val="-1"/>
          <w:sz w:val="21"/>
        </w:rPr>
        <w:t>2、施工过程中的淤泥、弃方、建筑垃圾等抛弃地点（倾倒区）由承包人自行解决（设计文件建议地点仅作参考），并负责办理相关许可手续，承担因申请和使用倾倒区的一切费用（含环境监测、渔业资源补偿等），相关费用已包含在合同价格中，发包人不另行支付。如承包人不按要求倾倒淤泥、弃</w:t>
      </w:r>
      <w:r>
        <w:rPr>
          <w:rFonts w:hint="eastAsia"/>
          <w:color w:val="auto"/>
          <w:spacing w:val="-1"/>
          <w:sz w:val="21"/>
        </w:rPr>
        <w:t>方</w:t>
      </w:r>
      <w:r>
        <w:rPr>
          <w:color w:val="auto"/>
          <w:spacing w:val="-1"/>
          <w:sz w:val="21"/>
        </w:rPr>
        <w:t>、建筑垃圾等引起的一切责任（包括违约金、赔偿等）均由承包人负责。</w:t>
      </w:r>
    </w:p>
    <w:p>
      <w:pPr>
        <w:pStyle w:val="10"/>
        <w:spacing w:before="148" w:line="350" w:lineRule="exact"/>
        <w:ind w:left="0" w:leftChars="0" w:firstLine="0" w:firstLineChars="0"/>
        <w:rPr>
          <w:b/>
          <w:bCs/>
          <w:color w:val="auto"/>
        </w:rPr>
      </w:pPr>
      <w:r>
        <w:rPr>
          <w:b/>
          <w:bCs/>
          <w:color w:val="auto"/>
        </w:rPr>
        <w:t>3</w:t>
      </w:r>
      <w:r>
        <w:rPr>
          <w:rFonts w:hint="eastAsia"/>
          <w:b/>
          <w:bCs/>
          <w:color w:val="auto"/>
          <w:lang w:eastAsia="zh-CN"/>
        </w:rPr>
        <w:t>、</w:t>
      </w:r>
      <w:r>
        <w:rPr>
          <w:b/>
          <w:bCs/>
          <w:color w:val="auto"/>
        </w:rPr>
        <w:t>监理人</w:t>
      </w:r>
    </w:p>
    <w:p>
      <w:pPr>
        <w:pStyle w:val="13"/>
        <w:tabs>
          <w:tab w:val="left" w:pos="9680"/>
        </w:tabs>
        <w:spacing w:before="160" w:line="350" w:lineRule="exact"/>
        <w:ind w:right="-37" w:firstLine="422" w:firstLineChars="200"/>
        <w:rPr>
          <w:b/>
          <w:bCs/>
          <w:color w:val="auto"/>
        </w:rPr>
      </w:pPr>
      <w:r>
        <w:rPr>
          <w:b/>
          <w:bCs/>
          <w:color w:val="auto"/>
        </w:rPr>
        <w:t>3.1监理人的职责和权力</w:t>
      </w:r>
    </w:p>
    <w:p>
      <w:pPr>
        <w:pStyle w:val="13"/>
        <w:tabs>
          <w:tab w:val="left" w:pos="9680"/>
        </w:tabs>
        <w:spacing w:before="160" w:line="350" w:lineRule="exact"/>
        <w:ind w:right="-37" w:firstLine="420" w:firstLineChars="200"/>
        <w:rPr>
          <w:color w:val="auto"/>
        </w:rPr>
      </w:pPr>
      <w:r>
        <w:rPr>
          <w:color w:val="auto"/>
        </w:rPr>
        <w:t>第3.1.1项补充：监理人的有关决定，都必须抄送发包人或发包人代表。发包人和承包人双方对工程施工的有关</w:t>
      </w:r>
      <w:r>
        <w:rPr>
          <w:color w:val="auto"/>
          <w:spacing w:val="-7"/>
        </w:rPr>
        <w:t>协议或决定，必须抄报监理人或总监理工程师代表，以利于系统管理。在任何情况下(包括合同另有</w:t>
      </w:r>
      <w:r>
        <w:rPr>
          <w:color w:val="auto"/>
        </w:rPr>
        <w:t>规定的情况),凡涉及工程变更、工程量增减、议价、索赔、改变工期、改变技术标准、改变重大施</w:t>
      </w:r>
      <w:r>
        <w:rPr>
          <w:color w:val="auto"/>
          <w:spacing w:val="-1"/>
        </w:rPr>
        <w:t>工技术方案等及一切与费用有关的监理人的指令，均需先与发包人协商，发包人书面认可后方能生</w:t>
      </w:r>
      <w:r>
        <w:rPr>
          <w:color w:val="auto"/>
        </w:rPr>
        <w:t>效。</w:t>
      </w:r>
    </w:p>
    <w:p>
      <w:pPr>
        <w:pStyle w:val="13"/>
        <w:spacing w:line="267" w:lineRule="exact"/>
        <w:ind w:firstLine="420" w:firstLineChars="200"/>
        <w:rPr>
          <w:color w:val="auto"/>
        </w:rPr>
      </w:pPr>
      <w:r>
        <w:rPr>
          <w:color w:val="auto"/>
        </w:rPr>
        <w:t>第3.1.2项补充：</w:t>
      </w:r>
    </w:p>
    <w:p>
      <w:pPr>
        <w:pStyle w:val="13"/>
        <w:spacing w:before="139" w:line="288" w:lineRule="auto"/>
        <w:ind w:right="-40" w:firstLine="420" w:firstLineChars="200"/>
        <w:jc w:val="both"/>
        <w:rPr>
          <w:color w:val="auto"/>
        </w:rPr>
      </w:pPr>
      <w:r>
        <w:rPr>
          <w:color w:val="auto"/>
        </w:rPr>
        <w:t>除本合同规定必须经发包人另行批准的事项外，如果监理人已经行使了上述职权，都应认为已从发包人处取得了必要的批准。但如果监理人的某些决定不妥或有错误，不妨碍政府监督部门或发包人事后进行撤销或变更。</w:t>
      </w:r>
    </w:p>
    <w:p>
      <w:pPr>
        <w:pStyle w:val="13"/>
        <w:spacing w:before="151"/>
        <w:ind w:firstLine="420" w:firstLineChars="200"/>
        <w:rPr>
          <w:color w:val="auto"/>
        </w:rPr>
      </w:pPr>
      <w:r>
        <w:rPr>
          <w:color w:val="auto"/>
        </w:rPr>
        <w:t>增加第3.6款和第3.7款：</w:t>
      </w:r>
    </w:p>
    <w:p>
      <w:pPr>
        <w:pStyle w:val="31"/>
        <w:numPr>
          <w:ilvl w:val="0"/>
          <w:numId w:val="0"/>
        </w:numPr>
        <w:tabs>
          <w:tab w:val="left" w:pos="1227"/>
        </w:tabs>
        <w:spacing w:before="139"/>
        <w:ind w:firstLine="422" w:firstLineChars="200"/>
        <w:rPr>
          <w:b/>
          <w:bCs/>
          <w:color w:val="auto"/>
          <w:sz w:val="21"/>
        </w:rPr>
      </w:pPr>
      <w:r>
        <w:rPr>
          <w:rFonts w:hint="eastAsia"/>
          <w:b/>
          <w:bCs/>
          <w:color w:val="auto"/>
          <w:sz w:val="21"/>
          <w:lang w:val="en-US" w:eastAsia="zh-CN"/>
        </w:rPr>
        <w:t>3.6</w:t>
      </w:r>
      <w:r>
        <w:rPr>
          <w:b/>
          <w:bCs/>
          <w:color w:val="auto"/>
          <w:sz w:val="21"/>
        </w:rPr>
        <w:t>发包人、监理人、试验人、承包人、风险管理单位的关系</w:t>
      </w:r>
    </w:p>
    <w:p>
      <w:pPr>
        <w:pStyle w:val="31"/>
        <w:numPr>
          <w:ilvl w:val="0"/>
          <w:numId w:val="0"/>
        </w:numPr>
        <w:tabs>
          <w:tab w:val="left" w:pos="1492"/>
        </w:tabs>
        <w:spacing w:before="140" w:line="364" w:lineRule="auto"/>
        <w:ind w:right="-37" w:rightChars="0" w:firstLine="416" w:firstLineChars="200"/>
        <w:jc w:val="both"/>
        <w:rPr>
          <w:color w:val="auto"/>
          <w:sz w:val="21"/>
        </w:rPr>
      </w:pPr>
      <w:r>
        <w:rPr>
          <w:rFonts w:hint="eastAsia"/>
          <w:color w:val="auto"/>
          <w:spacing w:val="-1"/>
          <w:sz w:val="21"/>
          <w:lang w:val="en-US" w:eastAsia="zh-CN"/>
        </w:rPr>
        <w:t>3.6.1</w:t>
      </w:r>
      <w:r>
        <w:rPr>
          <w:color w:val="auto"/>
          <w:spacing w:val="-1"/>
          <w:sz w:val="21"/>
        </w:rPr>
        <w:t>在整个建设过程中，发包人与监理人、试验人、第三方监测、风险管理单位之间是委托与被委托的关系；监理人与承包人是监理与被监理的关系；承包人在项目实施过程中，必须接受发包人的统一管理，同时应按合同规定接受监理人和试验人的监督和管理。任何与施工承包合同有关的施工活动，都必须同时经发包人和监理人审查认定，认为符合合同规定，发包人才予以拨付工程款。承包人应积极配合监理人、试验人、第三方监测、风险管理单位、科研单位以及各咨询单位开</w:t>
      </w:r>
      <w:r>
        <w:rPr>
          <w:color w:val="auto"/>
          <w:sz w:val="21"/>
        </w:rPr>
        <w:t>展工作。</w:t>
      </w:r>
    </w:p>
    <w:p>
      <w:pPr>
        <w:pStyle w:val="31"/>
        <w:numPr>
          <w:ilvl w:val="0"/>
          <w:numId w:val="0"/>
        </w:numPr>
        <w:tabs>
          <w:tab w:val="left" w:pos="1437"/>
        </w:tabs>
        <w:spacing w:line="364" w:lineRule="auto"/>
        <w:ind w:right="-37" w:rightChars="0" w:firstLine="412" w:firstLineChars="200"/>
        <w:rPr>
          <w:color w:val="auto"/>
          <w:sz w:val="21"/>
        </w:rPr>
      </w:pPr>
      <w:r>
        <w:rPr>
          <w:rFonts w:hint="eastAsia"/>
          <w:color w:val="auto"/>
          <w:spacing w:val="-2"/>
          <w:sz w:val="21"/>
          <w:lang w:val="en-US" w:eastAsia="zh-CN"/>
        </w:rPr>
        <w:t>3.6.2</w:t>
      </w:r>
      <w:r>
        <w:rPr>
          <w:color w:val="auto"/>
          <w:spacing w:val="-2"/>
          <w:sz w:val="21"/>
        </w:rPr>
        <w:t>本合同工程实行承包人自检、社会监理</w:t>
      </w:r>
      <w:r>
        <w:rPr>
          <w:color w:val="auto"/>
          <w:sz w:val="21"/>
        </w:rPr>
        <w:t>（含试验检测中心</w:t>
      </w:r>
      <w:r>
        <w:rPr>
          <w:color w:val="auto"/>
          <w:spacing w:val="-105"/>
          <w:sz w:val="21"/>
        </w:rPr>
        <w:t>）</w:t>
      </w:r>
      <w:r>
        <w:rPr>
          <w:color w:val="auto"/>
          <w:spacing w:val="-2"/>
          <w:sz w:val="21"/>
        </w:rPr>
        <w:t>、发包人和政府监督的三级管</w:t>
      </w:r>
      <w:r>
        <w:rPr>
          <w:color w:val="auto"/>
          <w:spacing w:val="-9"/>
          <w:sz w:val="21"/>
        </w:rPr>
        <w:t>理体制。对工程质量出现问题而降低质量标准或返工而造成的一切经济和工期损失，由承包人承担，</w:t>
      </w:r>
      <w:r>
        <w:rPr>
          <w:color w:val="auto"/>
          <w:sz w:val="21"/>
        </w:rPr>
        <w:t>并且按合同规定承担违约金；监理人根据监理合同规定负监理不周的责任。监理人对某一分部或分项工程的认可不影响政府机构或发包人在事后的否定。</w:t>
      </w:r>
    </w:p>
    <w:p>
      <w:pPr>
        <w:pStyle w:val="31"/>
        <w:numPr>
          <w:ilvl w:val="0"/>
          <w:numId w:val="0"/>
        </w:numPr>
        <w:tabs>
          <w:tab w:val="left" w:pos="1492"/>
        </w:tabs>
        <w:spacing w:line="364" w:lineRule="auto"/>
        <w:ind w:right="-37" w:rightChars="0" w:firstLine="416" w:firstLineChars="200"/>
        <w:jc w:val="both"/>
        <w:rPr>
          <w:color w:val="auto"/>
          <w:sz w:val="21"/>
        </w:rPr>
      </w:pPr>
      <w:r>
        <w:rPr>
          <w:rFonts w:hint="eastAsia"/>
          <w:color w:val="auto"/>
          <w:spacing w:val="-1"/>
          <w:sz w:val="21"/>
          <w:lang w:val="en-US" w:eastAsia="zh-CN"/>
        </w:rPr>
        <w:t>3.6.3</w:t>
      </w:r>
      <w:r>
        <w:rPr>
          <w:color w:val="auto"/>
          <w:spacing w:val="-1"/>
          <w:sz w:val="21"/>
        </w:rPr>
        <w:t>本项目实施的不同阶段，将有不同的监测、风险管理、科研单位参加相关项目的监测、风险管理、科研工作。承包人应根据实际工作需要，服从发包人的统一协调，做好相关配合工作，</w:t>
      </w:r>
      <w:r>
        <w:rPr>
          <w:color w:val="auto"/>
          <w:sz w:val="21"/>
        </w:rPr>
        <w:t>相关配合费用已包含在合同报价中。</w:t>
      </w:r>
    </w:p>
    <w:p>
      <w:pPr>
        <w:pStyle w:val="31"/>
        <w:numPr>
          <w:ilvl w:val="0"/>
          <w:numId w:val="0"/>
        </w:numPr>
        <w:tabs>
          <w:tab w:val="left" w:pos="1227"/>
        </w:tabs>
        <w:spacing w:line="267" w:lineRule="exact"/>
        <w:ind w:firstLine="422" w:firstLineChars="200"/>
        <w:rPr>
          <w:b/>
          <w:bCs/>
          <w:color w:val="auto"/>
          <w:sz w:val="21"/>
        </w:rPr>
      </w:pPr>
      <w:r>
        <w:rPr>
          <w:rFonts w:hint="eastAsia"/>
          <w:b/>
          <w:bCs/>
          <w:color w:val="auto"/>
          <w:sz w:val="21"/>
          <w:lang w:val="en-US" w:eastAsia="zh-CN"/>
        </w:rPr>
        <w:t>3.7</w:t>
      </w:r>
      <w:r>
        <w:rPr>
          <w:b/>
          <w:bCs/>
          <w:color w:val="auto"/>
          <w:sz w:val="21"/>
        </w:rPr>
        <w:t>发包人代表（或称发包人驻地代表）</w:t>
      </w:r>
    </w:p>
    <w:p>
      <w:pPr>
        <w:pStyle w:val="31"/>
        <w:numPr>
          <w:ilvl w:val="0"/>
          <w:numId w:val="0"/>
        </w:numPr>
        <w:tabs>
          <w:tab w:val="left" w:pos="1492"/>
          <w:tab w:val="left" w:pos="9680"/>
        </w:tabs>
        <w:spacing w:before="136" w:line="364" w:lineRule="auto"/>
        <w:ind w:right="-37" w:rightChars="0" w:firstLine="416" w:firstLineChars="200"/>
        <w:jc w:val="both"/>
        <w:rPr>
          <w:color w:val="auto"/>
          <w:sz w:val="21"/>
        </w:rPr>
      </w:pPr>
      <w:r>
        <w:rPr>
          <w:rFonts w:hint="eastAsia"/>
          <w:color w:val="auto"/>
          <w:spacing w:val="-1"/>
          <w:sz w:val="21"/>
          <w:lang w:val="en-US" w:eastAsia="zh-CN"/>
        </w:rPr>
        <w:t>3.7.1</w:t>
      </w:r>
      <w:r>
        <w:rPr>
          <w:color w:val="auto"/>
          <w:spacing w:val="-1"/>
          <w:sz w:val="21"/>
        </w:rPr>
        <w:t>发包人代表被授权代表发包人履行发包人的职责和宏观控制。发包人代表应深入工地，</w:t>
      </w:r>
      <w:r>
        <w:rPr>
          <w:color w:val="auto"/>
          <w:sz w:val="21"/>
        </w:rPr>
        <w:t>了解掌握工程施工的全过程和工程质量情况。</w:t>
      </w:r>
    </w:p>
    <w:p>
      <w:pPr>
        <w:pStyle w:val="31"/>
        <w:numPr>
          <w:ilvl w:val="0"/>
          <w:numId w:val="0"/>
        </w:numPr>
        <w:tabs>
          <w:tab w:val="left" w:pos="1492"/>
        </w:tabs>
        <w:spacing w:line="364" w:lineRule="auto"/>
        <w:ind w:right="-37" w:rightChars="0" w:firstLine="416" w:firstLineChars="200"/>
        <w:jc w:val="both"/>
        <w:rPr>
          <w:color w:val="auto"/>
          <w:sz w:val="21"/>
        </w:rPr>
      </w:pPr>
      <w:r>
        <w:rPr>
          <w:rFonts w:hint="eastAsia"/>
          <w:color w:val="auto"/>
          <w:spacing w:val="-1"/>
          <w:sz w:val="21"/>
          <w:lang w:val="en-US" w:eastAsia="zh-CN"/>
        </w:rPr>
        <w:t>3.7.2</w:t>
      </w:r>
      <w:r>
        <w:rPr>
          <w:color w:val="auto"/>
          <w:spacing w:val="-1"/>
          <w:sz w:val="21"/>
        </w:rPr>
        <w:t>发包人代表应检查承包人的施工质量、进度、安全、文明施工等情况，督促承包人完成工程计划。如工程计划不能完成，发包人代表有权要求承包人说明原因和采取补救措施，承包人必</w:t>
      </w:r>
      <w:r>
        <w:rPr>
          <w:color w:val="auto"/>
          <w:sz w:val="21"/>
        </w:rPr>
        <w:t>须接受。</w:t>
      </w:r>
    </w:p>
    <w:p>
      <w:pPr>
        <w:pStyle w:val="31"/>
        <w:numPr>
          <w:ilvl w:val="0"/>
          <w:numId w:val="0"/>
        </w:numPr>
        <w:tabs>
          <w:tab w:val="left" w:pos="1492"/>
        </w:tabs>
        <w:spacing w:line="364" w:lineRule="auto"/>
        <w:ind w:right="-37" w:rightChars="0" w:firstLine="416" w:firstLineChars="200"/>
        <w:jc w:val="both"/>
        <w:rPr>
          <w:color w:val="auto"/>
          <w:sz w:val="21"/>
        </w:rPr>
      </w:pPr>
      <w:r>
        <w:rPr>
          <w:rFonts w:hint="eastAsia"/>
          <w:color w:val="auto"/>
          <w:spacing w:val="-1"/>
          <w:sz w:val="21"/>
          <w:lang w:val="en-US" w:eastAsia="zh-CN"/>
        </w:rPr>
        <w:t>3.7.3</w:t>
      </w:r>
      <w:r>
        <w:rPr>
          <w:color w:val="auto"/>
          <w:spacing w:val="-1"/>
          <w:sz w:val="21"/>
        </w:rPr>
        <w:t>承包人报给发包人的报表、报告未经发包人代表签认，发包人可以视其为无效。但发包人代表签认的也不代表已获发包人最终核准确认，具体审批流程按发包人及其上级主管单位相关管</w:t>
      </w:r>
      <w:r>
        <w:rPr>
          <w:color w:val="auto"/>
          <w:sz w:val="21"/>
        </w:rPr>
        <w:t>理制度执行。</w:t>
      </w:r>
    </w:p>
    <w:p>
      <w:pPr>
        <w:pStyle w:val="31"/>
        <w:numPr>
          <w:ilvl w:val="0"/>
          <w:numId w:val="0"/>
        </w:numPr>
        <w:tabs>
          <w:tab w:val="left" w:pos="1437"/>
        </w:tabs>
        <w:ind w:firstLine="420" w:firstLineChars="200"/>
        <w:rPr>
          <w:color w:val="auto"/>
          <w:sz w:val="21"/>
        </w:rPr>
      </w:pPr>
      <w:r>
        <w:rPr>
          <w:rFonts w:hint="eastAsia"/>
          <w:color w:val="auto"/>
          <w:sz w:val="21"/>
          <w:lang w:val="en-US" w:eastAsia="zh-CN"/>
        </w:rPr>
        <w:t>3.7.4</w:t>
      </w:r>
      <w:r>
        <w:rPr>
          <w:color w:val="auto"/>
          <w:sz w:val="21"/>
        </w:rPr>
        <w:t>发包人代表应支持监理人做好监理工作，参与计量支付的审核工作。</w:t>
      </w:r>
    </w:p>
    <w:p>
      <w:pPr>
        <w:pStyle w:val="31"/>
        <w:numPr>
          <w:ilvl w:val="0"/>
          <w:numId w:val="0"/>
        </w:numPr>
        <w:tabs>
          <w:tab w:val="left" w:pos="1437"/>
        </w:tabs>
        <w:spacing w:before="139"/>
        <w:ind w:firstLine="420" w:firstLineChars="200"/>
        <w:rPr>
          <w:color w:val="auto"/>
          <w:sz w:val="21"/>
        </w:rPr>
      </w:pPr>
      <w:r>
        <w:rPr>
          <w:rFonts w:hint="eastAsia"/>
          <w:color w:val="auto"/>
          <w:sz w:val="21"/>
          <w:lang w:val="en-US" w:eastAsia="zh-CN"/>
        </w:rPr>
        <w:t>3.7.5</w:t>
      </w:r>
      <w:r>
        <w:rPr>
          <w:color w:val="auto"/>
          <w:sz w:val="21"/>
        </w:rPr>
        <w:t>发包人代表应协助承包人做好地方协调工作，配合征地部门处理好征地拆迁问题。</w:t>
      </w:r>
    </w:p>
    <w:p>
      <w:pPr>
        <w:pStyle w:val="31"/>
        <w:numPr>
          <w:ilvl w:val="0"/>
          <w:numId w:val="0"/>
        </w:numPr>
        <w:tabs>
          <w:tab w:val="left" w:pos="1492"/>
        </w:tabs>
        <w:spacing w:before="140" w:line="364" w:lineRule="auto"/>
        <w:ind w:right="-37" w:rightChars="0" w:firstLine="416" w:firstLineChars="200"/>
        <w:rPr>
          <w:color w:val="auto"/>
          <w:sz w:val="21"/>
        </w:rPr>
      </w:pPr>
      <w:r>
        <w:rPr>
          <w:rFonts w:hint="eastAsia"/>
          <w:color w:val="auto"/>
          <w:spacing w:val="-1"/>
          <w:sz w:val="21"/>
          <w:lang w:val="en-US" w:eastAsia="zh-CN"/>
        </w:rPr>
        <w:t>3.7.6</w:t>
      </w:r>
      <w:r>
        <w:rPr>
          <w:color w:val="auto"/>
          <w:spacing w:val="-1"/>
          <w:sz w:val="21"/>
        </w:rPr>
        <w:t>合同中规定的发包人代表(或称发包人驻地代表)的职责和权限，发包人可根据实际情况</w:t>
      </w:r>
      <w:r>
        <w:rPr>
          <w:color w:val="auto"/>
          <w:sz w:val="21"/>
        </w:rPr>
        <w:t>收回或授权监理人代理。</w:t>
      </w:r>
    </w:p>
    <w:p>
      <w:pPr>
        <w:pStyle w:val="10"/>
        <w:spacing w:before="151" w:line="400" w:lineRule="exact"/>
        <w:ind w:left="0" w:leftChars="0" w:firstLine="0" w:firstLineChars="0"/>
        <w:rPr>
          <w:b/>
          <w:bCs/>
          <w:color w:val="auto"/>
        </w:rPr>
      </w:pPr>
      <w:r>
        <w:rPr>
          <w:b/>
          <w:bCs/>
          <w:color w:val="auto"/>
        </w:rPr>
        <w:t>4、承包人</w:t>
      </w:r>
    </w:p>
    <w:p>
      <w:pPr>
        <w:pStyle w:val="31"/>
        <w:numPr>
          <w:ilvl w:val="0"/>
          <w:numId w:val="0"/>
        </w:numPr>
        <w:tabs>
          <w:tab w:val="left" w:pos="859"/>
        </w:tabs>
        <w:spacing w:before="159" w:line="400" w:lineRule="exact"/>
        <w:ind w:firstLine="422" w:firstLineChars="200"/>
        <w:rPr>
          <w:b/>
          <w:bCs/>
          <w:color w:val="auto"/>
          <w:sz w:val="21"/>
        </w:rPr>
      </w:pPr>
      <w:r>
        <w:rPr>
          <w:rFonts w:hint="eastAsia"/>
          <w:b/>
          <w:bCs/>
          <w:color w:val="auto"/>
          <w:sz w:val="21"/>
          <w:lang w:val="en-US" w:eastAsia="zh-CN"/>
        </w:rPr>
        <w:t>4.1</w:t>
      </w:r>
      <w:r>
        <w:rPr>
          <w:b/>
          <w:bCs/>
          <w:color w:val="auto"/>
          <w:sz w:val="21"/>
        </w:rPr>
        <w:t>承包人的一般义务</w:t>
      </w:r>
    </w:p>
    <w:p>
      <w:pPr>
        <w:pStyle w:val="31"/>
        <w:numPr>
          <w:ilvl w:val="0"/>
          <w:numId w:val="0"/>
        </w:numPr>
        <w:tabs>
          <w:tab w:val="left" w:pos="1481"/>
        </w:tabs>
        <w:spacing w:before="139" w:line="400" w:lineRule="exact"/>
        <w:ind w:right="5151" w:rightChars="0" w:firstLine="416" w:firstLineChars="200"/>
        <w:rPr>
          <w:color w:val="auto"/>
          <w:sz w:val="21"/>
        </w:rPr>
      </w:pPr>
      <w:r>
        <w:rPr>
          <w:rFonts w:hint="eastAsia"/>
          <w:color w:val="auto"/>
          <w:spacing w:val="-1"/>
          <w:sz w:val="21"/>
          <w:lang w:val="en-US" w:eastAsia="zh-CN"/>
        </w:rPr>
        <w:t>4.1.7</w:t>
      </w:r>
      <w:r>
        <w:rPr>
          <w:color w:val="auto"/>
          <w:spacing w:val="-1"/>
          <w:sz w:val="21"/>
        </w:rPr>
        <w:t>避免施工对公众与他人的利益造成损害</w:t>
      </w:r>
      <w:r>
        <w:rPr>
          <w:color w:val="auto"/>
          <w:sz w:val="21"/>
        </w:rPr>
        <w:t>将本款细化为：</w:t>
      </w:r>
    </w:p>
    <w:p>
      <w:pPr>
        <w:pStyle w:val="31"/>
        <w:numPr>
          <w:ilvl w:val="0"/>
          <w:numId w:val="0"/>
        </w:numPr>
        <w:tabs>
          <w:tab w:val="left" w:pos="1313"/>
        </w:tabs>
        <w:spacing w:line="400" w:lineRule="exact"/>
        <w:ind w:right="-37" w:rightChars="0" w:firstLine="416" w:firstLineChars="200"/>
        <w:jc w:val="both"/>
        <w:rPr>
          <w:color w:val="auto"/>
          <w:sz w:val="21"/>
        </w:rPr>
      </w:pPr>
      <w:r>
        <w:rPr>
          <w:rFonts w:hint="eastAsia"/>
          <w:color w:val="auto"/>
          <w:spacing w:val="-1"/>
          <w:sz w:val="21"/>
          <w:lang w:eastAsia="zh-CN"/>
        </w:rPr>
        <w:t>（</w:t>
      </w:r>
      <w:r>
        <w:rPr>
          <w:rFonts w:hint="eastAsia"/>
          <w:color w:val="auto"/>
          <w:spacing w:val="-1"/>
          <w:sz w:val="21"/>
          <w:lang w:val="en-US" w:eastAsia="zh-CN"/>
        </w:rPr>
        <w:t>1</w:t>
      </w:r>
      <w:r>
        <w:rPr>
          <w:rFonts w:hint="eastAsia"/>
          <w:color w:val="auto"/>
          <w:spacing w:val="-1"/>
          <w:sz w:val="21"/>
          <w:lang w:eastAsia="zh-CN"/>
        </w:rPr>
        <w:t>）</w:t>
      </w:r>
      <w:r>
        <w:rPr>
          <w:color w:val="auto"/>
          <w:spacing w:val="-1"/>
          <w:sz w:val="21"/>
        </w:rPr>
        <w:t>承包人在进行合同约定的各项工作时，不得侵害发包人与他人使用公用道路、水源、市政管网等公共设施的权利，避免对邻近的公共设施产生干扰。承包人占用或使用他人的施工场地，影</w:t>
      </w:r>
      <w:r>
        <w:rPr>
          <w:color w:val="auto"/>
          <w:sz w:val="21"/>
        </w:rPr>
        <w:t>响他人作业或生活的，应承担相应责任。</w:t>
      </w:r>
    </w:p>
    <w:p>
      <w:pPr>
        <w:pStyle w:val="31"/>
        <w:numPr>
          <w:ilvl w:val="0"/>
          <w:numId w:val="0"/>
        </w:numPr>
        <w:tabs>
          <w:tab w:val="left" w:pos="1313"/>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承包人对实施和完成本合同工程及缺陷修复工程中的一切施工作业（尤其是爆破作业、钻孔桩施工、路基路面碾压等存在震动的施工作业以及需要临时改变当地交通、灌溉、排水现状的施工作业</w:t>
      </w:r>
      <w:r>
        <w:rPr>
          <w:color w:val="auto"/>
          <w:spacing w:val="-105"/>
          <w:sz w:val="21"/>
        </w:rPr>
        <w:t>）</w:t>
      </w:r>
      <w:r>
        <w:rPr>
          <w:color w:val="auto"/>
          <w:spacing w:val="-8"/>
          <w:sz w:val="21"/>
        </w:rPr>
        <w:t>，有责任采取足够的预防措施，以保证不影响临近建筑物、构造物的安全与正常使用，不对群众的财产造成损失，也不干扰群众的生产、生活和通行方便（难以避免的一定程度的干扰除外</w:t>
      </w:r>
      <w:r>
        <w:rPr>
          <w:color w:val="auto"/>
          <w:spacing w:val="-114"/>
          <w:sz w:val="21"/>
        </w:rPr>
        <w:t>）</w:t>
      </w:r>
      <w:r>
        <w:rPr>
          <w:color w:val="auto"/>
          <w:spacing w:val="-17"/>
          <w:sz w:val="21"/>
        </w:rPr>
        <w:t>，</w:t>
      </w:r>
      <w:r>
        <w:rPr>
          <w:color w:val="auto"/>
          <w:sz w:val="21"/>
        </w:rPr>
        <w:t>如发生上述情况，并由此导致索赔、赔偿、诉讼费用及其他开支时，应由承包人承担一切责任及费用。承包人在报价和组织施工时应充分考虑这一因素。</w:t>
      </w:r>
    </w:p>
    <w:p>
      <w:pPr>
        <w:pStyle w:val="31"/>
        <w:numPr>
          <w:ilvl w:val="0"/>
          <w:numId w:val="0"/>
        </w:numPr>
        <w:tabs>
          <w:tab w:val="left" w:pos="1246"/>
        </w:tabs>
        <w:spacing w:line="364" w:lineRule="auto"/>
        <w:ind w:right="-37" w:rightChars="0" w:firstLine="420" w:firstLineChars="200"/>
        <w:jc w:val="both"/>
        <w:rPr>
          <w:color w:val="auto"/>
          <w:sz w:val="21"/>
        </w:rPr>
      </w:pPr>
      <w:r>
        <w:rPr>
          <w:rFonts w:hint="eastAsia"/>
          <w:color w:val="auto"/>
          <w:sz w:val="21"/>
          <w:lang w:val="en-US" w:eastAsia="zh-CN"/>
        </w:rPr>
        <w:t>（3）</w:t>
      </w:r>
      <w:r>
        <w:rPr>
          <w:color w:val="auto"/>
          <w:sz w:val="21"/>
        </w:rPr>
        <w:t>承包人实施和完成本合同工程及缺陷修复工程中的一切施工作业，应不影响当地道路的使</w:t>
      </w:r>
      <w:r>
        <w:rPr>
          <w:color w:val="auto"/>
          <w:spacing w:val="-3"/>
          <w:sz w:val="21"/>
        </w:rPr>
        <w:t>用或其他交通设施的使用，如果发生上述情况</w:t>
      </w:r>
      <w:r>
        <w:rPr>
          <w:color w:val="auto"/>
          <w:sz w:val="21"/>
        </w:rPr>
        <w:t>（如交通阻塞等</w:t>
      </w:r>
      <w:r>
        <w:rPr>
          <w:color w:val="auto"/>
          <w:spacing w:val="-105"/>
          <w:sz w:val="21"/>
        </w:rPr>
        <w:t>）</w:t>
      </w:r>
      <w:r>
        <w:rPr>
          <w:color w:val="auto"/>
          <w:spacing w:val="-8"/>
          <w:sz w:val="21"/>
        </w:rPr>
        <w:t>，并由此导致索赔、赔偿、诉讼费用</w:t>
      </w:r>
      <w:r>
        <w:rPr>
          <w:color w:val="auto"/>
          <w:sz w:val="21"/>
        </w:rPr>
        <w:t>及其他开支时，应由承包人承担一切责任及费用。</w:t>
      </w:r>
    </w:p>
    <w:p>
      <w:pPr>
        <w:pStyle w:val="13"/>
        <w:spacing w:line="364" w:lineRule="auto"/>
        <w:ind w:right="-37" w:firstLine="388" w:firstLineChars="200"/>
        <w:rPr>
          <w:color w:val="auto"/>
        </w:rPr>
      </w:pPr>
      <w:r>
        <w:rPr>
          <w:color w:val="auto"/>
          <w:spacing w:val="-8"/>
        </w:rPr>
        <w:t>承包人应按交警、公路、铁路、路政和道路、航道、海事等管理部门的规定办理有关使用手续，</w:t>
      </w:r>
      <w:r>
        <w:rPr>
          <w:color w:val="auto"/>
        </w:rPr>
        <w:t>手续应符合相关规定，并按规定交纳有关费用，费用已包括在承包人的投标报价之中，投标时应充分考虑，发包人不另行支付。</w:t>
      </w:r>
    </w:p>
    <w:p>
      <w:pPr>
        <w:pStyle w:val="31"/>
        <w:numPr>
          <w:ilvl w:val="0"/>
          <w:numId w:val="0"/>
        </w:numPr>
        <w:tabs>
          <w:tab w:val="left" w:pos="1246"/>
        </w:tabs>
        <w:spacing w:line="364" w:lineRule="auto"/>
        <w:ind w:right="-37" w:rightChars="0" w:firstLine="408" w:firstLineChars="200"/>
        <w:jc w:val="both"/>
        <w:rPr>
          <w:color w:val="auto"/>
          <w:spacing w:val="-3"/>
          <w:sz w:val="21"/>
        </w:rPr>
      </w:pPr>
      <w:r>
        <w:rPr>
          <w:rFonts w:hint="eastAsia"/>
          <w:color w:val="auto"/>
          <w:spacing w:val="-3"/>
          <w:sz w:val="21"/>
          <w:lang w:val="en-US" w:eastAsia="zh-CN"/>
        </w:rPr>
        <w:t>4.1.8</w:t>
      </w:r>
      <w:r>
        <w:rPr>
          <w:color w:val="auto"/>
          <w:spacing w:val="-3"/>
          <w:sz w:val="21"/>
        </w:rPr>
        <w:t>为他人提供方便</w:t>
      </w:r>
    </w:p>
    <w:p>
      <w:pPr>
        <w:pStyle w:val="31"/>
        <w:numPr>
          <w:ilvl w:val="0"/>
          <w:numId w:val="0"/>
        </w:numPr>
        <w:tabs>
          <w:tab w:val="left" w:pos="1246"/>
        </w:tabs>
        <w:spacing w:line="364" w:lineRule="auto"/>
        <w:ind w:right="-37" w:rightChars="0" w:firstLine="408" w:firstLineChars="200"/>
        <w:jc w:val="both"/>
        <w:rPr>
          <w:color w:val="auto"/>
          <w:spacing w:val="-3"/>
          <w:sz w:val="21"/>
        </w:rPr>
      </w:pPr>
      <w:r>
        <w:rPr>
          <w:color w:val="auto"/>
          <w:spacing w:val="-3"/>
          <w:sz w:val="21"/>
        </w:rPr>
        <w:t>将本项内容修改为：</w:t>
      </w:r>
    </w:p>
    <w:p>
      <w:pPr>
        <w:pStyle w:val="13"/>
        <w:spacing w:line="364" w:lineRule="auto"/>
        <w:ind w:right="-37" w:firstLine="420" w:firstLineChars="200"/>
        <w:jc w:val="both"/>
        <w:rPr>
          <w:color w:val="auto"/>
        </w:rPr>
      </w:pPr>
      <w:r>
        <w:rPr>
          <w:color w:val="auto"/>
        </w:rPr>
        <w:t>承包人应免费提供给与发包人签订有承包合同的其他承包人、检测和试验单位等使用承包人负责维护的临时道路、</w:t>
      </w:r>
      <w:r>
        <w:rPr>
          <w:rFonts w:hint="eastAsia"/>
          <w:color w:val="auto"/>
        </w:rPr>
        <w:t>标</w:t>
      </w:r>
      <w:r>
        <w:rPr>
          <w:color w:val="auto"/>
        </w:rPr>
        <w:t>梁等，并为上述人员提供方便。承包人在施工期限内，必须密切配合在本合</w:t>
      </w:r>
      <w:r>
        <w:rPr>
          <w:color w:val="auto"/>
          <w:spacing w:val="-5"/>
        </w:rPr>
        <w:t>同段内其他承包人进行的其他项目的施工。如发生冲突，承包人应无条件接受发包人的协调及安排。</w:t>
      </w:r>
    </w:p>
    <w:p>
      <w:pPr>
        <w:pStyle w:val="13"/>
        <w:spacing w:line="364" w:lineRule="auto"/>
        <w:ind w:right="-37" w:firstLine="420" w:firstLineChars="200"/>
        <w:rPr>
          <w:color w:val="auto"/>
        </w:rPr>
      </w:pPr>
      <w:r>
        <w:rPr>
          <w:color w:val="auto"/>
        </w:rPr>
        <w:t>如果本项目的预制梁板由预制标统一预制、运输、吊装；圆管涵管节由预制标统一预制、运输。相关承包人应进行积极配合，并免费为预制标提供方便快捷的预制梁板运输施工便道。</w:t>
      </w:r>
    </w:p>
    <w:p>
      <w:pPr>
        <w:pStyle w:val="13"/>
        <w:spacing w:line="268" w:lineRule="exact"/>
        <w:ind w:firstLine="420" w:firstLineChars="200"/>
        <w:rPr>
          <w:color w:val="auto"/>
        </w:rPr>
      </w:pPr>
      <w:r>
        <w:rPr>
          <w:color w:val="auto"/>
        </w:rPr>
        <w:t>承包人应负责按照监理人或发包人的要求安装为交通工程实施所需的预埋件。</w:t>
      </w:r>
    </w:p>
    <w:p>
      <w:pPr>
        <w:pStyle w:val="13"/>
        <w:spacing w:before="130" w:line="364" w:lineRule="auto"/>
        <w:ind w:right="-37" w:firstLine="420" w:firstLineChars="200"/>
        <w:rPr>
          <w:color w:val="auto"/>
        </w:rPr>
      </w:pPr>
      <w:r>
        <w:rPr>
          <w:color w:val="auto"/>
        </w:rPr>
        <w:t>承包人应配合试验、检测单位完成相应的试验或检测工作，包括桩基检测、地质钻孔等，所需配合费用已包含在合同价中，发包人不另行支付（桩基静载、梁板荷载试验除外</w:t>
      </w:r>
      <w:r>
        <w:rPr>
          <w:color w:val="auto"/>
          <w:spacing w:val="-106"/>
        </w:rPr>
        <w:t>）</w:t>
      </w:r>
      <w:r>
        <w:rPr>
          <w:color w:val="auto"/>
        </w:rPr>
        <w:t>。</w:t>
      </w:r>
    </w:p>
    <w:p>
      <w:pPr>
        <w:pStyle w:val="13"/>
        <w:spacing w:before="71"/>
        <w:ind w:firstLine="420" w:firstLineChars="200"/>
        <w:rPr>
          <w:color w:val="auto"/>
        </w:rPr>
      </w:pPr>
      <w:r>
        <w:rPr>
          <w:color w:val="auto"/>
        </w:rPr>
        <w:t>4.1.10其他义务</w:t>
      </w:r>
    </w:p>
    <w:p>
      <w:pPr>
        <w:pStyle w:val="13"/>
        <w:spacing w:before="140"/>
        <w:ind w:firstLine="420" w:firstLineChars="200"/>
        <w:rPr>
          <w:color w:val="auto"/>
        </w:rPr>
      </w:pPr>
      <w:r>
        <w:rPr>
          <w:color w:val="auto"/>
        </w:rPr>
        <w:t>第4.1.10（1）目补充：</w:t>
      </w:r>
    </w:p>
    <w:p>
      <w:pPr>
        <w:pStyle w:val="13"/>
        <w:tabs>
          <w:tab w:val="left" w:pos="9680"/>
        </w:tabs>
        <w:spacing w:before="139" w:line="364" w:lineRule="auto"/>
        <w:ind w:right="-37" w:firstLine="400" w:firstLineChars="200"/>
        <w:jc w:val="both"/>
        <w:rPr>
          <w:color w:val="auto"/>
        </w:rPr>
      </w:pPr>
      <w:r>
        <w:rPr>
          <w:color w:val="auto"/>
          <w:spacing w:val="-5"/>
        </w:rPr>
        <w:t>临时用地的面积和使用期应满足工程需要，费用包括临时占地数量、时间及因此而发生的协调、</w:t>
      </w:r>
      <w:r>
        <w:rPr>
          <w:color w:val="auto"/>
        </w:rPr>
        <w:t>租用、复耕等相关费用。临时用地中如有地面附着物（包括但不限于电力、电信、房屋、坟墓等</w:t>
      </w:r>
      <w:r>
        <w:rPr>
          <w:color w:val="auto"/>
          <w:spacing w:val="-105"/>
        </w:rPr>
        <w:t>）</w:t>
      </w:r>
      <w:r>
        <w:rPr>
          <w:color w:val="auto"/>
        </w:rPr>
        <w:t>，其拆迁补偿费用计入工程量清单各有关项目单价内，不另支付。</w:t>
      </w:r>
    </w:p>
    <w:p>
      <w:pPr>
        <w:pStyle w:val="13"/>
        <w:spacing w:line="267" w:lineRule="exact"/>
        <w:ind w:firstLine="420" w:firstLineChars="200"/>
        <w:rPr>
          <w:color w:val="auto"/>
        </w:rPr>
      </w:pPr>
      <w:r>
        <w:rPr>
          <w:color w:val="auto"/>
        </w:rPr>
        <w:t>将本款第(2)项细化为：</w:t>
      </w:r>
    </w:p>
    <w:p>
      <w:pPr>
        <w:pStyle w:val="13"/>
        <w:spacing w:before="140" w:line="364" w:lineRule="auto"/>
        <w:ind w:right="-37" w:firstLine="420" w:firstLineChars="200"/>
        <w:jc w:val="both"/>
        <w:rPr>
          <w:color w:val="auto"/>
        </w:rPr>
      </w:pPr>
      <w:r>
        <w:rPr>
          <w:color w:val="auto"/>
        </w:rPr>
        <w:t>(2)</w:t>
      </w:r>
      <w:r>
        <w:rPr>
          <w:color w:val="auto"/>
          <w:spacing w:val="-6"/>
        </w:rPr>
        <w:t>除另有规定外，承包人应承担并支付为获得本合同工程所需的石料、砂、砾石、黏土或其它</w:t>
      </w:r>
      <w:r>
        <w:rPr>
          <w:color w:val="auto"/>
          <w:spacing w:val="-1"/>
        </w:rPr>
        <w:t>当地材料等所发生的料场使用费及其它开支或补偿费。发包人应尽可能协助承包人办理料场租用手续及解决使用过程中的有关问题。承包人应按发包人要求将砂、石料等地材的供货合同等资料提供给发包人和监理人备案。取材的料场和货源应保持相对固定，承包人及其供货人应接受发包人和监理人的监督检查，如有变更应及时通知发包人或监理人并送交相应有关资料。监理人征得发包人同</w:t>
      </w:r>
      <w:r>
        <w:rPr>
          <w:color w:val="auto"/>
        </w:rPr>
        <w:t>意后有权要求承包人更换不符合要求的料场，承包人必须接受。</w:t>
      </w:r>
    </w:p>
    <w:p>
      <w:pPr>
        <w:pStyle w:val="13"/>
        <w:spacing w:line="266" w:lineRule="exact"/>
        <w:ind w:firstLine="420" w:firstLineChars="200"/>
        <w:rPr>
          <w:color w:val="auto"/>
        </w:rPr>
      </w:pPr>
      <w:r>
        <w:rPr>
          <w:color w:val="auto"/>
        </w:rPr>
        <w:t>(6)承包人应履行的其他义务：</w:t>
      </w:r>
    </w:p>
    <w:p>
      <w:pPr>
        <w:pStyle w:val="31"/>
        <w:numPr>
          <w:ilvl w:val="0"/>
          <w:numId w:val="0"/>
        </w:numPr>
        <w:tabs>
          <w:tab w:val="left" w:pos="1214"/>
        </w:tabs>
        <w:spacing w:before="140"/>
        <w:ind w:firstLine="420" w:firstLineChars="200"/>
        <w:rPr>
          <w:color w:val="auto"/>
          <w:sz w:val="21"/>
        </w:rPr>
      </w:pPr>
      <w:r>
        <w:rPr>
          <w:rFonts w:hint="eastAsia"/>
          <w:color w:val="auto"/>
          <w:sz w:val="21"/>
          <w:lang w:val="en-US" w:eastAsia="zh-CN"/>
        </w:rPr>
        <w:t>a.</w:t>
      </w:r>
      <w:r>
        <w:rPr>
          <w:color w:val="auto"/>
          <w:sz w:val="21"/>
        </w:rPr>
        <w:t>工序衔接与协调</w:t>
      </w:r>
    </w:p>
    <w:p>
      <w:pPr>
        <w:pStyle w:val="13"/>
        <w:spacing w:before="139" w:line="364" w:lineRule="auto"/>
        <w:ind w:right="-37" w:firstLine="420" w:firstLineChars="200"/>
        <w:jc w:val="both"/>
        <w:rPr>
          <w:color w:val="auto"/>
        </w:rPr>
      </w:pPr>
      <w:r>
        <w:rPr>
          <w:color w:val="auto"/>
        </w:rPr>
        <w:t>多个承包人在同一区域施工时，监理人有权协调工程的实施并对工程的衔接提出指示，承包人应在监理人的统一协调下工作。承包人由此增加的费用应认为已包括在承包人的投标报价之中，发包人不另行支付。</w:t>
      </w:r>
    </w:p>
    <w:p>
      <w:pPr>
        <w:pStyle w:val="31"/>
        <w:numPr>
          <w:ilvl w:val="0"/>
          <w:numId w:val="0"/>
        </w:numPr>
        <w:tabs>
          <w:tab w:val="left" w:pos="1174"/>
        </w:tabs>
        <w:spacing w:line="267" w:lineRule="exact"/>
        <w:ind w:firstLine="420" w:firstLineChars="200"/>
        <w:rPr>
          <w:color w:val="auto"/>
          <w:sz w:val="21"/>
        </w:rPr>
      </w:pPr>
      <w:r>
        <w:rPr>
          <w:rFonts w:hint="eastAsia"/>
          <w:color w:val="auto"/>
          <w:sz w:val="21"/>
          <w:lang w:val="en-US" w:eastAsia="zh-CN"/>
        </w:rPr>
        <w:t>b.</w:t>
      </w:r>
      <w:r>
        <w:rPr>
          <w:color w:val="auto"/>
          <w:sz w:val="21"/>
        </w:rPr>
        <w:t>施工工艺要求</w:t>
      </w:r>
    </w:p>
    <w:p>
      <w:pPr>
        <w:pStyle w:val="13"/>
        <w:spacing w:before="141" w:line="364" w:lineRule="auto"/>
        <w:ind w:right="-37" w:firstLine="420" w:firstLineChars="200"/>
        <w:jc w:val="both"/>
        <w:rPr>
          <w:color w:val="auto"/>
        </w:rPr>
      </w:pPr>
      <w:r>
        <w:rPr>
          <w:color w:val="auto"/>
        </w:rPr>
        <w:t>承包人应采取一切必要的措施，严格执行施工过程中发包人下发的施工技术指导意见和技术规范的各项规定，以保证达到合同规定的质量要求。在工程竣工质量要求较招标文件技术规范未发生改变的情况下，发包人或监理人对施工工艺提出了合理要求，原则上承包人不得就此要求发包人给予额外费用补偿，由此发生的一切费用视为已计入合同价格中。若发包人或监理人对施工工艺提出了特别要求，而引起实质施工工作内容发生明显变化的，按相关变更管理规定执行。。</w:t>
      </w:r>
    </w:p>
    <w:p>
      <w:pPr>
        <w:pStyle w:val="31"/>
        <w:numPr>
          <w:ilvl w:val="0"/>
          <w:numId w:val="0"/>
        </w:numPr>
        <w:tabs>
          <w:tab w:val="left" w:pos="1174"/>
        </w:tabs>
        <w:spacing w:line="267" w:lineRule="exact"/>
        <w:ind w:firstLine="420" w:firstLineChars="200"/>
        <w:rPr>
          <w:color w:val="auto"/>
          <w:sz w:val="21"/>
        </w:rPr>
      </w:pPr>
      <w:r>
        <w:rPr>
          <w:rFonts w:hint="eastAsia"/>
          <w:color w:val="auto"/>
          <w:sz w:val="21"/>
          <w:lang w:val="en-US" w:eastAsia="zh-CN"/>
        </w:rPr>
        <w:t>c.</w:t>
      </w:r>
      <w:r>
        <w:rPr>
          <w:color w:val="auto"/>
          <w:sz w:val="21"/>
        </w:rPr>
        <w:t>卫生与供水</w:t>
      </w:r>
    </w:p>
    <w:p>
      <w:pPr>
        <w:pStyle w:val="13"/>
        <w:spacing w:before="139" w:line="364" w:lineRule="auto"/>
        <w:ind w:right="-37" w:firstLine="420" w:firstLineChars="200"/>
        <w:jc w:val="both"/>
        <w:rPr>
          <w:color w:val="auto"/>
        </w:rPr>
      </w:pPr>
      <w:r>
        <w:rPr>
          <w:color w:val="auto"/>
        </w:rPr>
        <w:t>承包人应自费采取应有的卫生防护措施，经常保持现场及其驻地整洁和卫生，为其雇用的员工供应清洁的饮用水和合格的施工用水，以保护职员和工人的健康。在炎热的高温条件下施工时，承包人应注意采取防暑降温措施。</w:t>
      </w:r>
    </w:p>
    <w:p>
      <w:pPr>
        <w:pStyle w:val="13"/>
        <w:spacing w:line="364" w:lineRule="auto"/>
        <w:ind w:right="-37" w:firstLine="420" w:firstLineChars="200"/>
        <w:jc w:val="both"/>
        <w:rPr>
          <w:color w:val="auto"/>
        </w:rPr>
      </w:pPr>
      <w:r>
        <w:rPr>
          <w:color w:val="auto"/>
        </w:rPr>
        <w:t>承包人在组织人员进驻工程现场时，应切实采取预防疫情的有效措施，配备必要的医药用品、</w:t>
      </w:r>
      <w:r>
        <w:rPr>
          <w:rFonts w:hint="eastAsia"/>
          <w:color w:val="auto"/>
        </w:rPr>
        <w:t>清</w:t>
      </w:r>
      <w:r>
        <w:rPr>
          <w:color w:val="auto"/>
        </w:rPr>
        <w:t>毒、测温、通风等设施、设备，加强疫情防控工作。承包人应至少设一名专职的、具有一定卫生常识及传染病防治知识的卫生督查员，负责承包人所在施工现场的传染病检查、控制和报告。</w:t>
      </w:r>
    </w:p>
    <w:p>
      <w:pPr>
        <w:pStyle w:val="13"/>
        <w:spacing w:line="364" w:lineRule="auto"/>
        <w:ind w:right="-37" w:firstLine="420" w:firstLineChars="200"/>
        <w:jc w:val="both"/>
        <w:rPr>
          <w:color w:val="auto"/>
        </w:rPr>
      </w:pPr>
      <w:r>
        <w:rPr>
          <w:color w:val="auto"/>
        </w:rPr>
        <w:t>承包人还应建立人员流动登记制度，信息报告制度，与当地卫生防疫部门积极合作，做好各项防范措施的落实工作。一旦暴发任何具有传染性的疾病时，承包人应遵守并执行当地政府或卫生防疫部门为防治和</w:t>
      </w:r>
      <w:r>
        <w:rPr>
          <w:rFonts w:hint="eastAsia"/>
          <w:color w:val="auto"/>
        </w:rPr>
        <w:t>清</w:t>
      </w:r>
      <w:r>
        <w:rPr>
          <w:color w:val="auto"/>
        </w:rPr>
        <w:t>灭上述传染病蔓延而制订的规章、命令和要求。</w:t>
      </w:r>
    </w:p>
    <w:p>
      <w:pPr>
        <w:pStyle w:val="13"/>
        <w:spacing w:line="364" w:lineRule="auto"/>
        <w:ind w:right="-37" w:firstLine="420" w:firstLineChars="200"/>
        <w:jc w:val="both"/>
        <w:rPr>
          <w:color w:val="auto"/>
        </w:rPr>
      </w:pPr>
      <w:r>
        <w:rPr>
          <w:color w:val="auto"/>
        </w:rPr>
        <w:t>承包人应将其采取上述措施而可能发生的全部费用计入投标报价中，发包人将不另行支付。因承包人采取措施不力所造成的一切后果，均由承包人自行负责。</w:t>
      </w:r>
    </w:p>
    <w:p>
      <w:pPr>
        <w:pStyle w:val="31"/>
        <w:numPr>
          <w:ilvl w:val="0"/>
          <w:numId w:val="0"/>
        </w:numPr>
        <w:tabs>
          <w:tab w:val="left" w:pos="1174"/>
        </w:tabs>
        <w:spacing w:line="268" w:lineRule="exact"/>
        <w:ind w:firstLine="420" w:firstLineChars="200"/>
        <w:rPr>
          <w:rFonts w:hint="eastAsia" w:eastAsia="宋体"/>
          <w:color w:val="auto"/>
          <w:sz w:val="21"/>
          <w:lang w:val="en-US" w:eastAsia="zh-CN"/>
        </w:rPr>
      </w:pPr>
      <w:r>
        <w:rPr>
          <w:rFonts w:hint="eastAsia"/>
          <w:color w:val="auto"/>
          <w:sz w:val="21"/>
          <w:lang w:val="en-US" w:eastAsia="zh-CN"/>
        </w:rPr>
        <w:t>d.</w:t>
      </w:r>
      <w:r>
        <w:rPr>
          <w:color w:val="auto"/>
          <w:sz w:val="21"/>
        </w:rPr>
        <w:t>项目审计、稽查和检查等的配合</w:t>
      </w:r>
    </w:p>
    <w:p>
      <w:pPr>
        <w:pStyle w:val="31"/>
        <w:numPr>
          <w:ilvl w:val="0"/>
          <w:numId w:val="0"/>
        </w:numPr>
        <w:tabs>
          <w:tab w:val="left" w:pos="1377"/>
          <w:tab w:val="left" w:pos="9460"/>
        </w:tabs>
        <w:spacing w:before="139" w:line="364" w:lineRule="auto"/>
        <w:ind w:right="-37" w:rightChars="0" w:firstLine="404" w:firstLineChars="200"/>
        <w:jc w:val="both"/>
        <w:rPr>
          <w:color w:val="auto"/>
          <w:sz w:val="21"/>
        </w:rPr>
      </w:pPr>
      <w:r>
        <w:rPr>
          <w:rFonts w:hint="eastAsia"/>
          <w:color w:val="auto"/>
          <w:spacing w:val="-4"/>
          <w:sz w:val="21"/>
          <w:lang w:val="en-US" w:eastAsia="zh-CN"/>
        </w:rPr>
        <w:t>(a)</w:t>
      </w:r>
      <w:r>
        <w:rPr>
          <w:color w:val="auto"/>
          <w:spacing w:val="-4"/>
          <w:sz w:val="21"/>
        </w:rPr>
        <w:t>与本工程项目相关的审计和稽查，承包人应高度重视并委派专人积极予以配合，对审计和</w:t>
      </w:r>
      <w:r>
        <w:rPr>
          <w:color w:val="auto"/>
          <w:sz w:val="21"/>
        </w:rPr>
        <w:t>稽查的有关意见承包人应无条件地及时整改。</w:t>
      </w:r>
    </w:p>
    <w:p>
      <w:pPr>
        <w:pStyle w:val="31"/>
        <w:numPr>
          <w:ilvl w:val="0"/>
          <w:numId w:val="0"/>
        </w:numPr>
        <w:tabs>
          <w:tab w:val="left" w:pos="1377"/>
        </w:tabs>
        <w:spacing w:line="364" w:lineRule="auto"/>
        <w:ind w:right="-37" w:rightChars="0" w:firstLine="412" w:firstLineChars="200"/>
        <w:jc w:val="both"/>
        <w:rPr>
          <w:color w:val="auto"/>
          <w:sz w:val="21"/>
        </w:rPr>
      </w:pPr>
      <w:r>
        <w:rPr>
          <w:rFonts w:hint="eastAsia"/>
          <w:color w:val="auto"/>
          <w:spacing w:val="-2"/>
          <w:sz w:val="21"/>
          <w:lang w:val="en-US" w:eastAsia="zh-CN"/>
        </w:rPr>
        <w:t>(b)</w:t>
      </w:r>
      <w:r>
        <w:rPr>
          <w:color w:val="auto"/>
          <w:spacing w:val="-2"/>
          <w:sz w:val="21"/>
        </w:rPr>
        <w:t>有关单位对本项目的各种检查和视察等活动，承包人和监理人有义务积极配合开展各项</w:t>
      </w:r>
      <w:r>
        <w:rPr>
          <w:color w:val="auto"/>
          <w:spacing w:val="-5"/>
          <w:sz w:val="21"/>
        </w:rPr>
        <w:t>工作。</w:t>
      </w:r>
    </w:p>
    <w:p>
      <w:pPr>
        <w:pStyle w:val="31"/>
        <w:numPr>
          <w:ilvl w:val="0"/>
          <w:numId w:val="0"/>
        </w:numPr>
        <w:tabs>
          <w:tab w:val="left" w:pos="1377"/>
          <w:tab w:val="left" w:pos="9460"/>
        </w:tabs>
        <w:spacing w:line="364" w:lineRule="auto"/>
        <w:ind w:right="-37" w:rightChars="0" w:firstLine="412" w:firstLineChars="200"/>
        <w:jc w:val="both"/>
        <w:rPr>
          <w:color w:val="auto"/>
          <w:sz w:val="21"/>
        </w:rPr>
      </w:pPr>
      <w:r>
        <w:rPr>
          <w:rFonts w:hint="eastAsia"/>
          <w:color w:val="auto"/>
          <w:spacing w:val="-2"/>
          <w:sz w:val="21"/>
          <w:lang w:val="en-US" w:eastAsia="zh-CN"/>
        </w:rPr>
        <w:t>(c)</w:t>
      </w:r>
      <w:r>
        <w:rPr>
          <w:color w:val="auto"/>
          <w:spacing w:val="-2"/>
          <w:sz w:val="21"/>
        </w:rPr>
        <w:t>本工程项目有关的各类统计报表和汇报材料包括项目后评价报告，承包人和监理人有义</w:t>
      </w:r>
      <w:r>
        <w:rPr>
          <w:color w:val="auto"/>
          <w:spacing w:val="-4"/>
          <w:sz w:val="21"/>
        </w:rPr>
        <w:t>务配合发包人做好编制工作并提供相应的资料。</w:t>
      </w:r>
    </w:p>
    <w:p>
      <w:pPr>
        <w:pStyle w:val="31"/>
        <w:numPr>
          <w:ilvl w:val="0"/>
          <w:numId w:val="0"/>
        </w:numPr>
        <w:tabs>
          <w:tab w:val="left" w:pos="1401"/>
        </w:tabs>
        <w:spacing w:line="364" w:lineRule="auto"/>
        <w:ind w:right="-37" w:rightChars="0" w:firstLine="396" w:firstLineChars="200"/>
        <w:jc w:val="both"/>
        <w:rPr>
          <w:color w:val="auto"/>
          <w:sz w:val="21"/>
        </w:rPr>
      </w:pPr>
      <w:r>
        <w:rPr>
          <w:rFonts w:hint="eastAsia"/>
          <w:color w:val="auto"/>
          <w:spacing w:val="-6"/>
          <w:sz w:val="21"/>
          <w:lang w:val="en-US" w:eastAsia="zh-CN"/>
        </w:rPr>
        <w:t>(d)</w:t>
      </w:r>
      <w:r>
        <w:rPr>
          <w:color w:val="auto"/>
          <w:spacing w:val="-6"/>
          <w:sz w:val="21"/>
        </w:rPr>
        <w:t>承包人应按监理人和发包人有关要求，建立相应的图纸、合同、计量、支付和变更台帐和</w:t>
      </w:r>
      <w:r>
        <w:rPr>
          <w:color w:val="auto"/>
          <w:spacing w:val="-1"/>
          <w:sz w:val="21"/>
        </w:rPr>
        <w:t>造价数据链，同时承包人和监理人应配合发包人建立相应的台帐，三方各自的台帐和造价数据链应相应保持一致并保持其持续有效直至工程结算完成。并按省级公路工程造价管理信息化平台要求动</w:t>
      </w:r>
      <w:r>
        <w:rPr>
          <w:color w:val="auto"/>
          <w:sz w:val="21"/>
        </w:rPr>
        <w:t>态上传造价文档。</w:t>
      </w:r>
    </w:p>
    <w:p>
      <w:pPr>
        <w:pStyle w:val="31"/>
        <w:numPr>
          <w:ilvl w:val="0"/>
          <w:numId w:val="0"/>
        </w:numPr>
        <w:tabs>
          <w:tab w:val="left" w:pos="1104"/>
        </w:tabs>
        <w:spacing w:line="364" w:lineRule="auto"/>
        <w:ind w:right="-37" w:rightChars="0" w:firstLine="416" w:firstLineChars="200"/>
        <w:jc w:val="both"/>
        <w:rPr>
          <w:color w:val="auto"/>
          <w:sz w:val="21"/>
        </w:rPr>
      </w:pPr>
      <w:r>
        <w:rPr>
          <w:rFonts w:hint="eastAsia"/>
          <w:color w:val="auto"/>
          <w:spacing w:val="-1"/>
          <w:sz w:val="21"/>
          <w:lang w:val="en-US" w:eastAsia="zh-CN"/>
        </w:rPr>
        <w:t>e.</w:t>
      </w:r>
      <w:r>
        <w:rPr>
          <w:color w:val="auto"/>
          <w:spacing w:val="-1"/>
          <w:sz w:val="21"/>
        </w:rPr>
        <w:t>承包人应按发包人要求做好文明施工、安全生产工作，做好迎接上级部门检查指导的各项工作，执行发包人及监理人关于做好文明施工、安全生产的各项口头及书面指令，所发生的相关费用</w:t>
      </w:r>
      <w:r>
        <w:rPr>
          <w:color w:val="auto"/>
          <w:sz w:val="21"/>
        </w:rPr>
        <w:t>投标人在投标报价时综合考虑。</w:t>
      </w:r>
    </w:p>
    <w:p>
      <w:pPr>
        <w:pStyle w:val="31"/>
        <w:numPr>
          <w:ilvl w:val="0"/>
          <w:numId w:val="0"/>
        </w:numPr>
        <w:tabs>
          <w:tab w:val="left" w:pos="860"/>
        </w:tabs>
        <w:spacing w:line="269" w:lineRule="exact"/>
        <w:ind w:firstLine="422" w:firstLineChars="200"/>
        <w:rPr>
          <w:b/>
          <w:bCs/>
          <w:color w:val="auto"/>
          <w:sz w:val="21"/>
        </w:rPr>
      </w:pPr>
      <w:r>
        <w:rPr>
          <w:rFonts w:hint="eastAsia"/>
          <w:b/>
          <w:bCs/>
          <w:color w:val="auto"/>
          <w:sz w:val="21"/>
          <w:lang w:val="en-US" w:eastAsia="zh-CN"/>
        </w:rPr>
        <w:t>4.3</w:t>
      </w:r>
      <w:r>
        <w:rPr>
          <w:b/>
          <w:bCs/>
          <w:color w:val="auto"/>
          <w:sz w:val="21"/>
        </w:rPr>
        <w:t>分包</w:t>
      </w:r>
    </w:p>
    <w:p>
      <w:pPr>
        <w:pStyle w:val="13"/>
        <w:spacing w:before="134"/>
        <w:ind w:left="438"/>
        <w:rPr>
          <w:color w:val="auto"/>
        </w:rPr>
      </w:pPr>
      <w:r>
        <w:rPr>
          <w:color w:val="auto"/>
        </w:rPr>
        <w:t>在第4.3.3项原文后增加如下内容：</w:t>
      </w:r>
    </w:p>
    <w:p>
      <w:pPr>
        <w:pStyle w:val="13"/>
        <w:spacing w:before="139" w:line="364" w:lineRule="auto"/>
        <w:ind w:right="-37" w:firstLine="412" w:firstLineChars="200"/>
        <w:jc w:val="both"/>
        <w:rPr>
          <w:color w:val="auto"/>
        </w:rPr>
      </w:pPr>
      <w:r>
        <w:rPr>
          <w:color w:val="auto"/>
          <w:spacing w:val="-2"/>
        </w:rPr>
        <w:t>如果出现上述违规分包的情况</w:t>
      </w:r>
      <w:r>
        <w:rPr>
          <w:color w:val="auto"/>
        </w:rPr>
        <w:t>（合同另有规定除外</w:t>
      </w:r>
      <w:r>
        <w:rPr>
          <w:color w:val="auto"/>
          <w:spacing w:val="-65"/>
        </w:rPr>
        <w:t>）</w:t>
      </w:r>
      <w:r>
        <w:rPr>
          <w:color w:val="auto"/>
          <w:spacing w:val="-12"/>
        </w:rPr>
        <w:t>，监理人有权拒绝验收和计量，发包人有权</w:t>
      </w:r>
      <w:r>
        <w:rPr>
          <w:color w:val="auto"/>
          <w:spacing w:val="-4"/>
        </w:rPr>
        <w:t>拒绝支付或收回该工程，并按</w:t>
      </w:r>
      <w:r>
        <w:rPr>
          <w:color w:val="auto"/>
        </w:rPr>
        <w:t>22.1</w:t>
      </w:r>
      <w:r>
        <w:rPr>
          <w:color w:val="auto"/>
          <w:spacing w:val="-8"/>
        </w:rPr>
        <w:t>款承包人违约处理。</w:t>
      </w:r>
    </w:p>
    <w:p>
      <w:pPr>
        <w:pStyle w:val="13"/>
        <w:tabs>
          <w:tab w:val="left" w:pos="9680"/>
        </w:tabs>
        <w:spacing w:line="364" w:lineRule="auto"/>
        <w:ind w:right="-37" w:firstLine="420" w:firstLineChars="200"/>
        <w:jc w:val="both"/>
        <w:rPr>
          <w:color w:val="auto"/>
        </w:rPr>
      </w:pPr>
      <w:r>
        <w:rPr>
          <w:color w:val="auto"/>
        </w:rPr>
        <w:t>承包人如有分包计划，应符合《广东省公路工程施工分包管理实施细则》的施工分包和劳务合作的有关规定。</w:t>
      </w:r>
    </w:p>
    <w:p>
      <w:pPr>
        <w:pStyle w:val="13"/>
        <w:spacing w:line="268" w:lineRule="exact"/>
        <w:ind w:firstLine="420" w:firstLineChars="200"/>
        <w:rPr>
          <w:color w:val="auto"/>
        </w:rPr>
      </w:pPr>
      <w:r>
        <w:rPr>
          <w:color w:val="auto"/>
        </w:rPr>
        <w:t>本款补充第4.3.8、4.3.9项：</w:t>
      </w:r>
    </w:p>
    <w:p>
      <w:pPr>
        <w:pStyle w:val="31"/>
        <w:numPr>
          <w:ilvl w:val="0"/>
          <w:numId w:val="0"/>
        </w:numPr>
        <w:tabs>
          <w:tab w:val="left" w:pos="1017"/>
        </w:tabs>
        <w:spacing w:before="139"/>
        <w:ind w:firstLine="420" w:firstLineChars="200"/>
        <w:rPr>
          <w:color w:val="auto"/>
          <w:sz w:val="21"/>
        </w:rPr>
      </w:pPr>
      <w:r>
        <w:rPr>
          <w:rFonts w:hint="eastAsia"/>
          <w:color w:val="auto"/>
          <w:sz w:val="21"/>
          <w:lang w:val="en-US" w:eastAsia="zh-CN"/>
        </w:rPr>
        <w:t>4.3.8</w:t>
      </w:r>
      <w:r>
        <w:rPr>
          <w:color w:val="auto"/>
          <w:sz w:val="21"/>
        </w:rPr>
        <w:t>特殊的分包人或供货人</w:t>
      </w:r>
    </w:p>
    <w:p>
      <w:pPr>
        <w:pStyle w:val="13"/>
        <w:spacing w:before="139" w:line="364" w:lineRule="auto"/>
        <w:ind w:right="-37" w:firstLine="400" w:firstLineChars="200"/>
        <w:jc w:val="both"/>
        <w:rPr>
          <w:color w:val="auto"/>
        </w:rPr>
      </w:pPr>
      <w:r>
        <w:rPr>
          <w:color w:val="auto"/>
          <w:spacing w:val="-5"/>
        </w:rPr>
        <w:t>为了履行合同中某专业化的或特殊工程或关键的、专项的材料、设备、供货，根据金额规模可</w:t>
      </w:r>
      <w:r>
        <w:rPr>
          <w:color w:val="auto"/>
          <w:spacing w:val="-1"/>
        </w:rPr>
        <w:t>以通过合法方式选定作为发包人的特殊分包人或供货人，并要求承包人与进行专项或供货分包的特</w:t>
      </w:r>
      <w:r>
        <w:rPr>
          <w:color w:val="auto"/>
        </w:rPr>
        <w:t>殊分包人或供货人签订分包合同。</w:t>
      </w:r>
    </w:p>
    <w:p>
      <w:pPr>
        <w:pStyle w:val="13"/>
        <w:spacing w:line="364" w:lineRule="auto"/>
        <w:ind w:right="-37" w:firstLine="412" w:firstLineChars="200"/>
        <w:jc w:val="both"/>
        <w:rPr>
          <w:color w:val="auto"/>
        </w:rPr>
      </w:pPr>
      <w:r>
        <w:rPr>
          <w:color w:val="auto"/>
          <w:spacing w:val="-2"/>
        </w:rPr>
        <w:t>有关特殊分包的合同中，特殊分包人</w:t>
      </w:r>
      <w:r>
        <w:rPr>
          <w:color w:val="auto"/>
        </w:rPr>
        <w:t>（或供货人</w:t>
      </w:r>
      <w:r>
        <w:rPr>
          <w:color w:val="auto"/>
          <w:spacing w:val="-6"/>
        </w:rPr>
        <w:t>）</w:t>
      </w:r>
      <w:r>
        <w:rPr>
          <w:color w:val="auto"/>
          <w:spacing w:val="-2"/>
        </w:rPr>
        <w:t>应独立地承担其合同责任和义务，不使承包</w:t>
      </w:r>
      <w:r>
        <w:rPr>
          <w:color w:val="auto"/>
        </w:rPr>
        <w:t>人对发包人承担的合同责任和义务受到损害，也不使承包人承担因特殊的分包人（或供货人）</w:t>
      </w:r>
      <w:r>
        <w:rPr>
          <w:color w:val="auto"/>
          <w:spacing w:val="-6"/>
        </w:rPr>
        <w:t>未能</w:t>
      </w:r>
      <w:r>
        <w:rPr>
          <w:color w:val="auto"/>
        </w:rPr>
        <w:t>履行责任、义务而引起的索赔、赔偿、诉讼费用及其它开支。承包人对于特殊分包人（或供货人</w:t>
      </w:r>
      <w:r>
        <w:rPr>
          <w:color w:val="auto"/>
          <w:spacing w:val="-11"/>
        </w:rPr>
        <w:t>）</w:t>
      </w:r>
      <w:r>
        <w:rPr>
          <w:color w:val="auto"/>
          <w:spacing w:val="-1"/>
        </w:rPr>
        <w:t>及其职工的过失而造成的损失不承担任何责任。如果特殊分包合同中含有与上述规定有悖的条款，</w:t>
      </w:r>
      <w:r>
        <w:rPr>
          <w:color w:val="auto"/>
        </w:rPr>
        <w:t>承包人有权拒绝与此特殊分包人（或供货人）签订合同。</w:t>
      </w:r>
    </w:p>
    <w:p>
      <w:pPr>
        <w:pStyle w:val="13"/>
        <w:spacing w:line="364" w:lineRule="auto"/>
        <w:ind w:right="-37" w:firstLine="416" w:firstLineChars="200"/>
        <w:jc w:val="both"/>
        <w:rPr>
          <w:color w:val="auto"/>
        </w:rPr>
      </w:pPr>
      <w:r>
        <w:rPr>
          <w:color w:val="auto"/>
          <w:spacing w:val="-1"/>
        </w:rPr>
        <w:t>属特殊分包人</w:t>
      </w:r>
      <w:r>
        <w:rPr>
          <w:color w:val="auto"/>
        </w:rPr>
        <w:t>（或供货人</w:t>
      </w:r>
      <w:r>
        <w:rPr>
          <w:color w:val="auto"/>
          <w:spacing w:val="-5"/>
        </w:rPr>
        <w:t>）</w:t>
      </w:r>
      <w:r>
        <w:rPr>
          <w:color w:val="auto"/>
          <w:spacing w:val="-4"/>
        </w:rPr>
        <w:t>的项目，工程的计量由承包人负责统一上报，承包人应将发包人支</w:t>
      </w:r>
      <w:r>
        <w:rPr>
          <w:color w:val="auto"/>
        </w:rPr>
        <w:t>付的属特殊分包人（或供货人）部分的款项及时向特殊分包人（或供货人）支付。</w:t>
      </w:r>
    </w:p>
    <w:p>
      <w:pPr>
        <w:pStyle w:val="13"/>
        <w:spacing w:line="364" w:lineRule="auto"/>
        <w:ind w:right="-37" w:firstLine="416" w:firstLineChars="200"/>
        <w:jc w:val="both"/>
        <w:rPr>
          <w:color w:val="auto"/>
        </w:rPr>
      </w:pPr>
      <w:r>
        <w:rPr>
          <w:color w:val="auto"/>
          <w:spacing w:val="-1"/>
        </w:rPr>
        <w:t>属特殊分包人</w:t>
      </w:r>
      <w:r>
        <w:rPr>
          <w:color w:val="auto"/>
        </w:rPr>
        <w:t>（或供货人</w:t>
      </w:r>
      <w:r>
        <w:rPr>
          <w:color w:val="auto"/>
          <w:spacing w:val="-6"/>
        </w:rPr>
        <w:t>）</w:t>
      </w:r>
      <w:r>
        <w:rPr>
          <w:color w:val="auto"/>
          <w:spacing w:val="-3"/>
        </w:rPr>
        <w:t>的项目，由所在合同段的承包人负责该部分项目原始资料的存档和</w:t>
      </w:r>
      <w:r>
        <w:rPr>
          <w:color w:val="auto"/>
        </w:rPr>
        <w:t>竣工资料的统一编制等工作。</w:t>
      </w:r>
    </w:p>
    <w:p>
      <w:pPr>
        <w:pStyle w:val="13"/>
        <w:spacing w:line="364" w:lineRule="auto"/>
        <w:ind w:right="-37" w:firstLine="412" w:firstLineChars="200"/>
        <w:jc w:val="both"/>
        <w:rPr>
          <w:color w:val="auto"/>
        </w:rPr>
      </w:pPr>
      <w:r>
        <w:rPr>
          <w:color w:val="auto"/>
          <w:spacing w:val="-2"/>
        </w:rPr>
        <w:t>承包人应无偿为特殊供货人的供料运输提供满足使用要求的便道和码头，承包人负责卸料并负</w:t>
      </w:r>
      <w:r>
        <w:rPr>
          <w:color w:val="auto"/>
          <w:spacing w:val="-1"/>
        </w:rPr>
        <w:t>责将卸下的材料搬运至工地仓库或特定地点，由此所需的设备、人力和费用由承包人自行负责，承</w:t>
      </w:r>
      <w:r>
        <w:rPr>
          <w:color w:val="auto"/>
        </w:rPr>
        <w:t>包人的仓库容量应满足相关要求。</w:t>
      </w:r>
    </w:p>
    <w:p>
      <w:pPr>
        <w:pStyle w:val="13"/>
        <w:spacing w:line="267" w:lineRule="exact"/>
        <w:ind w:firstLine="420" w:firstLineChars="200"/>
        <w:rPr>
          <w:color w:val="auto"/>
        </w:rPr>
      </w:pPr>
      <w:r>
        <w:rPr>
          <w:color w:val="auto"/>
        </w:rPr>
        <w:t>如发生专用条款第11.5款中规定的承包人工程进度严重滞后的情况，发包人有权对承包人部</w:t>
      </w:r>
    </w:p>
    <w:p>
      <w:pPr>
        <w:pStyle w:val="13"/>
        <w:spacing w:before="138"/>
        <w:ind w:firstLine="420" w:firstLineChars="200"/>
        <w:rPr>
          <w:color w:val="auto"/>
        </w:rPr>
      </w:pPr>
      <w:r>
        <w:rPr>
          <w:color w:val="auto"/>
        </w:rPr>
        <w:t>分工程进行特殊分包，承包人应无条件接受，并按第11.5款执行。</w:t>
      </w:r>
    </w:p>
    <w:p>
      <w:pPr>
        <w:pStyle w:val="13"/>
        <w:spacing w:before="140"/>
        <w:ind w:firstLine="420" w:firstLineChars="200"/>
        <w:rPr>
          <w:color w:val="auto"/>
        </w:rPr>
      </w:pPr>
      <w:r>
        <w:rPr>
          <w:color w:val="auto"/>
        </w:rPr>
        <w:t>分包合同须符合《广东省公路工程施工分包管理实施细则》的有关规定。</w:t>
      </w:r>
    </w:p>
    <w:p>
      <w:pPr>
        <w:pStyle w:val="31"/>
        <w:numPr>
          <w:ilvl w:val="0"/>
          <w:numId w:val="0"/>
        </w:numPr>
        <w:tabs>
          <w:tab w:val="left" w:pos="1017"/>
        </w:tabs>
        <w:spacing w:before="139"/>
        <w:ind w:left="438" w:leftChars="0"/>
        <w:rPr>
          <w:color w:val="auto"/>
          <w:sz w:val="21"/>
        </w:rPr>
      </w:pPr>
      <w:r>
        <w:rPr>
          <w:rFonts w:hint="eastAsia"/>
          <w:color w:val="auto"/>
          <w:sz w:val="21"/>
          <w:lang w:val="en-US" w:eastAsia="zh-CN"/>
        </w:rPr>
        <w:t>4.3.9</w:t>
      </w:r>
      <w:r>
        <w:rPr>
          <w:color w:val="auto"/>
          <w:sz w:val="21"/>
        </w:rPr>
        <w:t>发包人的强制分包</w:t>
      </w:r>
    </w:p>
    <w:p>
      <w:pPr>
        <w:pStyle w:val="13"/>
        <w:spacing w:before="140" w:line="364" w:lineRule="auto"/>
        <w:ind w:right="-37" w:firstLine="420" w:firstLineChars="200"/>
        <w:jc w:val="both"/>
        <w:rPr>
          <w:color w:val="auto"/>
        </w:rPr>
      </w:pPr>
      <w:r>
        <w:rPr>
          <w:color w:val="auto"/>
        </w:rPr>
        <w:t>因承包人违约或发生重大的质量、安全事故以及出现进度严重滞后的情况和工程专业化施工等的需要，发包人有权对承包人部分工程进行切割，做分包处理，因此而增加的一切费用由承包人承担。</w:t>
      </w:r>
    </w:p>
    <w:p>
      <w:pPr>
        <w:pStyle w:val="13"/>
        <w:tabs>
          <w:tab w:val="left" w:pos="9680"/>
        </w:tabs>
        <w:spacing w:line="364" w:lineRule="auto"/>
        <w:ind w:right="-37" w:firstLine="420" w:firstLineChars="200"/>
        <w:jc w:val="both"/>
        <w:rPr>
          <w:color w:val="auto"/>
        </w:rPr>
      </w:pPr>
      <w:r>
        <w:rPr>
          <w:color w:val="auto"/>
        </w:rPr>
        <w:t>当发包人决定采取分包时，承包人应无条件接受并全力配合发包人开展相关工作，并无条件提供已有的临时设施（包括但不限于便道、便</w:t>
      </w:r>
      <w:r>
        <w:rPr>
          <w:rFonts w:hint="eastAsia"/>
          <w:color w:val="auto"/>
        </w:rPr>
        <w:t>标</w:t>
      </w:r>
      <w:r>
        <w:rPr>
          <w:color w:val="auto"/>
        </w:rPr>
        <w:t>、电力线路等）供分包人使用，且不得为此要求增加或支付任何费用，否则视承包人违约。分包部分的造价按以下原则计算，并从承包人的合同总价中扣除：</w:t>
      </w:r>
    </w:p>
    <w:p>
      <w:pPr>
        <w:pStyle w:val="13"/>
        <w:spacing w:line="364" w:lineRule="auto"/>
        <w:ind w:right="-37" w:firstLine="420" w:firstLineChars="200"/>
        <w:jc w:val="both"/>
        <w:rPr>
          <w:color w:val="auto"/>
        </w:rPr>
      </w:pPr>
      <w:r>
        <w:rPr>
          <w:color w:val="auto"/>
        </w:rPr>
        <w:t>A</w:t>
      </w:r>
      <w:r>
        <w:rPr>
          <w:color w:val="auto"/>
          <w:spacing w:val="-9"/>
        </w:rPr>
        <w:t>、按承包人与发包人签定的承包合同清单单价和切割工程数量计算，同时还需将承包人</w:t>
      </w:r>
      <w:r>
        <w:rPr>
          <w:color w:val="auto"/>
        </w:rPr>
        <w:t>100</w:t>
      </w:r>
      <w:r>
        <w:rPr>
          <w:color w:val="auto"/>
          <w:spacing w:val="-34"/>
        </w:rPr>
        <w:t>章</w:t>
      </w:r>
      <w:r>
        <w:rPr>
          <w:color w:val="auto"/>
        </w:rPr>
        <w:t>中按比例计提的各项费用（包括竣工文件、施工环保费、安全生产费、工程进度奖金等）按照切割工程所占比例从承包人的合同总价中扣除；</w:t>
      </w:r>
    </w:p>
    <w:p>
      <w:pPr>
        <w:pStyle w:val="13"/>
        <w:spacing w:line="364" w:lineRule="auto"/>
        <w:ind w:right="-37" w:firstLine="420" w:firstLineChars="200"/>
        <w:jc w:val="both"/>
        <w:rPr>
          <w:color w:val="auto"/>
        </w:rPr>
      </w:pPr>
      <w:r>
        <w:rPr>
          <w:color w:val="auto"/>
        </w:rPr>
        <w:t>B</w:t>
      </w:r>
      <w:r>
        <w:rPr>
          <w:color w:val="auto"/>
          <w:spacing w:val="-9"/>
        </w:rPr>
        <w:t>、发包人委托造价管理部门或第三方中介单位按</w:t>
      </w:r>
      <w:r>
        <w:rPr>
          <w:color w:val="auto"/>
          <w:u w:val="single"/>
        </w:rPr>
        <w:t>控制价时点</w:t>
      </w:r>
      <w:r>
        <w:rPr>
          <w:color w:val="auto"/>
        </w:rPr>
        <w:t>或</w:t>
      </w:r>
      <w:r>
        <w:rPr>
          <w:color w:val="auto"/>
          <w:u w:val="single"/>
        </w:rPr>
        <w:t>编制时点</w:t>
      </w:r>
      <w:r>
        <w:rPr>
          <w:color w:val="auto"/>
          <w:spacing w:val="-2"/>
        </w:rPr>
        <w:t>重新编制切割工程的施</w:t>
      </w:r>
      <w:r>
        <w:rPr>
          <w:color w:val="auto"/>
        </w:rPr>
        <w:t>工预算，并按预算金额从承包人的合同总价中扣除。</w:t>
      </w:r>
    </w:p>
    <w:p>
      <w:pPr>
        <w:pStyle w:val="13"/>
        <w:spacing w:line="268" w:lineRule="exact"/>
        <w:ind w:firstLine="420" w:firstLineChars="200"/>
        <w:rPr>
          <w:color w:val="auto"/>
        </w:rPr>
      </w:pPr>
      <w:r>
        <w:rPr>
          <w:color w:val="auto"/>
        </w:rPr>
        <w:t>发包人有权从以上两种方式中进行选择，承包人必须无条件服从。</w:t>
      </w:r>
    </w:p>
    <w:p>
      <w:pPr>
        <w:pStyle w:val="13"/>
        <w:spacing w:before="135" w:line="364" w:lineRule="auto"/>
        <w:ind w:right="-37" w:firstLine="420" w:firstLineChars="200"/>
        <w:jc w:val="both"/>
        <w:rPr>
          <w:color w:val="auto"/>
        </w:rPr>
      </w:pPr>
      <w:r>
        <w:rPr>
          <w:color w:val="auto"/>
        </w:rPr>
        <w:t>发包人有权要求承包人与分包人或由发包人、承包人和分包人三方按上述确定的造价签订分包协议。工程的计量由承包人负责统一上报，承包人应将发包人支付的属分包人部分的款项及时向分包人支付。发包人有权根据具体情况将相应款项直接向分包人支付，并从应付给承包人款项中相应扣回。承包人须负责分包部分原始资料的存档和竣工资料的统一编制等工作。发包人对承包人分包工程的同意并不免除承包人应承担的责任和义务。承包人应将任何分包人、分包代理人、雇员或工人的行为、违约和疏忽，视为承包人自己的行为、违约和疏忽，并为之负完全的责任。</w:t>
      </w:r>
    </w:p>
    <w:p>
      <w:pPr>
        <w:pStyle w:val="13"/>
        <w:spacing w:line="364" w:lineRule="auto"/>
        <w:ind w:right="-37" w:firstLine="420" w:firstLineChars="200"/>
        <w:jc w:val="both"/>
        <w:rPr>
          <w:color w:val="auto"/>
        </w:rPr>
      </w:pPr>
      <w:r>
        <w:rPr>
          <w:color w:val="auto"/>
        </w:rPr>
        <w:t>承包人的分包工程受发包人的监督和管理，发包人有权审查承包人所有分包合同，承包人须严格执行合同（包括分包合同）条款，不得拖欠工人工资及分包商工程款，发包人如有发现或接到投诉，发包人有权直接向工人或分包商支付承包人拖欠款项，该笔款项由发包人从承包人应收工程款中如数扣回，承包人不得有异议。</w:t>
      </w:r>
    </w:p>
    <w:p>
      <w:pPr>
        <w:pStyle w:val="31"/>
        <w:numPr>
          <w:ilvl w:val="0"/>
          <w:numId w:val="0"/>
        </w:numPr>
        <w:tabs>
          <w:tab w:val="left" w:pos="859"/>
        </w:tabs>
        <w:spacing w:before="148"/>
        <w:rPr>
          <w:color w:val="auto"/>
          <w:sz w:val="21"/>
        </w:rPr>
      </w:pPr>
      <w:r>
        <w:rPr>
          <w:rFonts w:hint="eastAsia"/>
          <w:color w:val="auto"/>
          <w:sz w:val="21"/>
          <w:lang w:val="en-US" w:eastAsia="zh-CN"/>
        </w:rPr>
        <w:t>4.6</w:t>
      </w:r>
      <w:r>
        <w:rPr>
          <w:color w:val="auto"/>
          <w:sz w:val="21"/>
        </w:rPr>
        <w:t>承包人人员的管理</w:t>
      </w:r>
    </w:p>
    <w:p>
      <w:pPr>
        <w:rPr>
          <w:color w:val="auto"/>
          <w:sz w:val="21"/>
        </w:rPr>
      </w:pPr>
    </w:p>
    <w:p>
      <w:pPr>
        <w:pStyle w:val="13"/>
        <w:ind w:firstLine="420" w:firstLineChars="200"/>
        <w:rPr>
          <w:color w:val="auto"/>
        </w:rPr>
      </w:pPr>
      <w:r>
        <w:rPr>
          <w:color w:val="auto"/>
        </w:rPr>
        <w:t>在第4.6.1项文后增加以下内容：</w:t>
      </w:r>
    </w:p>
    <w:p>
      <w:pPr>
        <w:pStyle w:val="13"/>
        <w:spacing w:before="139" w:line="364" w:lineRule="auto"/>
        <w:ind w:right="-37" w:firstLine="420" w:firstLineChars="200"/>
        <w:rPr>
          <w:color w:val="auto"/>
        </w:rPr>
      </w:pPr>
      <w:r>
        <w:rPr>
          <w:color w:val="auto"/>
        </w:rPr>
        <w:t>承包人应按监理人批准的人员安排报告及时安排相关人员进场，如果承包人在接到监理人要求人员进场的通知5天后仍未安排相关人员进场，将按22.1款承包人违约处理。</w:t>
      </w:r>
    </w:p>
    <w:p>
      <w:pPr>
        <w:pStyle w:val="13"/>
        <w:spacing w:line="268" w:lineRule="exact"/>
        <w:ind w:left="438"/>
        <w:rPr>
          <w:color w:val="auto"/>
        </w:rPr>
      </w:pPr>
      <w:r>
        <w:rPr>
          <w:color w:val="auto"/>
        </w:rPr>
        <w:t>将第4.6.3项细化为：</w:t>
      </w:r>
    </w:p>
    <w:p>
      <w:pPr>
        <w:pStyle w:val="31"/>
        <w:numPr>
          <w:ilvl w:val="0"/>
          <w:numId w:val="0"/>
        </w:numPr>
        <w:tabs>
          <w:tab w:val="left" w:pos="1071"/>
        </w:tabs>
        <w:spacing w:before="139" w:line="364" w:lineRule="auto"/>
        <w:ind w:right="-37" w:rightChars="0" w:firstLine="420" w:firstLineChars="200"/>
        <w:rPr>
          <w:color w:val="auto"/>
          <w:sz w:val="21"/>
        </w:rPr>
      </w:pPr>
      <w:r>
        <w:rPr>
          <w:rFonts w:hint="eastAsia"/>
          <w:color w:val="auto"/>
          <w:sz w:val="21"/>
          <w:lang w:val="en-US" w:eastAsia="zh-CN"/>
        </w:rPr>
        <w:t>4.6.3</w:t>
      </w:r>
      <w:r>
        <w:rPr>
          <w:color w:val="auto"/>
          <w:sz w:val="21"/>
        </w:rPr>
        <w:t>承包人安排在施工场地的主要管理人员和技术骨干应与承包人承诺的名单一致，并保持相对稳定。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未经监理人批准，上述人员不应无故不到位或被替换。若确实无法到位或需替换，或监理人认为已委派的项目经理或主要人员（或备选人员）的工作能力和业务水平不称职，需经监理人审核并报发包人批准后，用同等资质和经历的人员替换，同时须按以下标准向发包人提交违约金：项目经理、总工程师</w:t>
      </w:r>
      <w:r>
        <w:rPr>
          <w:rFonts w:hint="eastAsia"/>
          <w:color w:val="auto"/>
          <w:sz w:val="21"/>
          <w:lang w:val="en-US"/>
        </w:rPr>
        <w:t>0.5</w:t>
      </w:r>
      <w:r>
        <w:rPr>
          <w:color w:val="auto"/>
          <w:sz w:val="21"/>
        </w:rPr>
        <w:t>万元/人次（用备选人替换首选人的调整不受此限），质检工程师、计划工程师万元/人次，其他主要管理人员（道路工程师、</w:t>
      </w:r>
      <w:r>
        <w:rPr>
          <w:rFonts w:hint="eastAsia"/>
          <w:color w:val="auto"/>
          <w:sz w:val="21"/>
        </w:rPr>
        <w:t>标</w:t>
      </w:r>
      <w:r>
        <w:rPr>
          <w:color w:val="auto"/>
          <w:sz w:val="21"/>
        </w:rPr>
        <w:t>梁工程师、隧道工程师、地质工程师、测量工程师、试验工程师、安全主任、财务负责人）的调整部分需缴纳违约金</w:t>
      </w:r>
      <w:r>
        <w:rPr>
          <w:rFonts w:hint="eastAsia"/>
          <w:color w:val="auto"/>
          <w:sz w:val="21"/>
          <w:lang w:val="en-US"/>
        </w:rPr>
        <w:t>0.2</w:t>
      </w:r>
      <w:r>
        <w:rPr>
          <w:color w:val="auto"/>
          <w:sz w:val="21"/>
        </w:rPr>
        <w:t>万元/人次。发包人可随着工程的进度情况，动态增减管理人员要求。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为保证承包人的档案资料整理工作具有连续性、稳定性，要求承包人的档案资料整理负责人在本项目连续工作1年及以上，否则按第22.1款视为承包人违约。</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项目经理不能在两个或两个以上项目同时任职，且必须保证每月有22天以上驻守现场；项目总工（总工程师）必须保证每月有22天以上驻守现场，否则按22.1款视为承包人违约。以上两位主要人员因主管部门或发包人检查，被认定存在“挂名”现象的，也将按22.1款认定为承包人违约。</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承包人应按《公路水运工程安全生产监督管理办法》（交通部令2017年第25号）等相关规定的要求，设立安全生产管理机构，配备专职安全生产管理人员。按照年度施工产值配备专职安全生产管理人员，不足5000万元的至少配备1名；5000万元以上不足2亿元的按每5000万元不少于1名的比例配备；2亿元以上的不少于5名，且按专业配备。发包人可根据项目的工期和进度，提出最低的专职安全生产管理人员数量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项目经理和总工程师必须按要求出席发包人组织的各种会议，包括监理人主持的重要会议。特殊情况必须取得发包人或监理人批准，任何迟到或早退按缺席处理，否则按22.1款视为承包人违约。</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承包人应严格按照环境保护的有关规定，明确环境保护的主要负责人，并按监理人的要求做好防御措施以及实施记录。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(7)</w:t>
      </w:r>
      <w:r>
        <w:rPr>
          <w:color w:val="auto"/>
          <w:sz w:val="21"/>
        </w:rPr>
        <w:t>承包人应严格按照水土保持的有关规定，明确水土保持的主要负责人，并按监理人的要求做好防御措施以及实施记录。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在本款后增加4.6.6～4.6.7项如下：</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4.6.6</w:t>
      </w:r>
      <w:r>
        <w:rPr>
          <w:color w:val="auto"/>
          <w:sz w:val="21"/>
        </w:rPr>
        <w:t>劳务聘用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承包人可以直接雇用农民工或将劳务作业分包给具有劳务分包资质的劳务分包人，但承包人或分包人必须依法签订劳动合同，并将民工花名册、劳动合同和民工签收的工资支付表报监理人备案。承包人和劳务分包人必须按照有关法律、法规和劳务合同按时支付劳务工资及相关费用，落实各项劳动保护措施。</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承包人必须按时支付其雇用人员、其分包单位雇用人员、实际为承包人或其分包单位服务、应从承包人中得到报酬的人员（包括民工）的工资，不得拖欠上述人员的工资。同时，承包人有责任和义务监督其分包单位对属下员工工资的支付。发包人和监理人有权监督承包人使用农民工的管理，对不签订劳动合同、非法使用农民工的，或者拖延和克扣农民工工资的，一经发现，发包人将予以通报并上报上级主管单位。同时，发包人有权从承包人的工程款中扣留部分款项，直接用于支付上述人员的工资，承包人须无条件接受。详细规定见承包人投标文件中提交的《建设工程农民工工资支付保证书》。若因上述原因造成劳务人员上访、纠纷等情况，承包人须承担一切经济和法律责任。除按国家有关法律、法规、规章及上述合同条款的规定进行处理外，同时按照第22.1款承包人违约处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承包人应为农民工办理工伤保险或人身意外险。</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发包人颁发的农民工工资监管办法及有关规定，承包人须积极配合并无条件的接受。</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劳务合作须符合《广东省公路工程施工分包管理实施细则》中的有关规定。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4.6.7</w:t>
      </w:r>
      <w:r>
        <w:rPr>
          <w:color w:val="auto"/>
          <w:sz w:val="21"/>
        </w:rPr>
        <w:t>施工员登记制度</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签定合同后，承包人应向监理人提供一份拟在本合同工程进行现场管理的施工员名单，包括监理人要求的有关证明材料。监理人将对符合资格要求的施工员进行造册登记，并发给项目施工员证。施工员登记工作是监理人签发开工令的必要条件之一。</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分项工程施工现场实行标识牌管理，标识牌必须标明该分项工程作业内容和质量要求，施工单位及质量负责人姓名。工程开工后，承包人必须在每个施工工点派驻一个以上的经登记的施工员进行现场施工管理，做好详细的现场施工记录。施工员必须佩带项目施工员证上岗。承包人不执行本款规定将按照22.1款承包人违约处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在施工过程中，监理人只要有充分的理由，可以随时</w:t>
      </w:r>
      <w:r>
        <w:rPr>
          <w:rFonts w:hint="eastAsia"/>
          <w:color w:val="auto"/>
          <w:sz w:val="21"/>
          <w:lang w:eastAsia="zh-CN"/>
        </w:rPr>
        <w:t>取消</w:t>
      </w:r>
      <w:r>
        <w:rPr>
          <w:color w:val="auto"/>
          <w:sz w:val="21"/>
        </w:rPr>
        <w:t>不能令其满意的施工员的资格，收回项目施工员证。</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增加第4.14款职业健康、安全与环境保护</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4.14</w:t>
      </w:r>
      <w:r>
        <w:rPr>
          <w:color w:val="auto"/>
          <w:sz w:val="21"/>
        </w:rPr>
        <w:t>职业健康、安全与环境保护</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承包人应严格遵守国家、省、行业主管部门有关职业健康、安全与环境保护法律、法规、规范、规程、规定和本合同文件、以及发包人发布的相关要求。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职业健康、安全与环境保护所需的费用已包含在合同总价中，发包人不另行支付。</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承包人应按国家和有关部门的规定，对施工现场人员和作业船舶、机械、设备的防台风、</w:t>
      </w:r>
      <w:r>
        <w:rPr>
          <w:rFonts w:hint="eastAsia"/>
          <w:color w:val="auto"/>
          <w:sz w:val="21"/>
        </w:rPr>
        <w:t>防</w:t>
      </w:r>
      <w:r>
        <w:rPr>
          <w:color w:val="auto"/>
          <w:sz w:val="21"/>
        </w:rPr>
        <w:t>突风、防风暴潮、防汛、防火、防雾、防坠落、防雷击等进行安全管理，对施工现场加强水陆交通安全管理、治安防范和</w:t>
      </w:r>
      <w:r>
        <w:rPr>
          <w:rFonts w:hint="eastAsia"/>
          <w:color w:val="auto"/>
          <w:sz w:val="21"/>
        </w:rPr>
        <w:t>清</w:t>
      </w:r>
      <w:r>
        <w:rPr>
          <w:color w:val="auto"/>
          <w:sz w:val="21"/>
        </w:rPr>
        <w:t>防安全防护措施，并承担由于措施不力造成的事故责任和由此发生的费用。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承包人在高压线、水上、水下及管线、易燃、易爆地段或其他有害环境下作业时，作业前应提出安全保护措施，经监理人审查同意后实施。监理人的同意并不能免除承包人应承担的责任。防护措施费用由承包人承担。</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对施工场地周围管线和邻近建筑物、构筑物进行保护并承担有关费用，对已完成作业的管线、沟道应有明显的标识和警示措施，并按要求予以保护，因标识不全或安全防护设施不当（够）引起的任何责任由承包人承担。</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遵守属地政府和行业主管部门对作业设备、作业噪音以及环境保护和安全生产文明施工等的管理规定，并按规定办理有关手续，因手续不全引起的一切责任均由承包人负责。</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(7)</w:t>
      </w:r>
      <w:r>
        <w:rPr>
          <w:color w:val="auto"/>
          <w:sz w:val="21"/>
        </w:rPr>
        <w:t>承包人应对所属员工（包括分包单位员工）的工伤事故承担全部责任。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(8)</w:t>
      </w:r>
      <w:r>
        <w:rPr>
          <w:color w:val="auto"/>
          <w:sz w:val="21"/>
        </w:rPr>
        <w:t>由于承包人原因，在施工场地内及其毗邻地带造成的第三者人员伤亡和财产损失，由承包人负责赔偿。</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w:t>
      </w:r>
      <w:r>
        <w:rPr>
          <w:color w:val="auto"/>
          <w:sz w:val="21"/>
        </w:rPr>
        <w:t>因承包人违法、违章作业，造成生态环境破坏、海洋生物损害、妨碍公共交通安全、危及区域交通和居民安全，降低海洋、河流防洪能力，或者影响其他承包人施工等后果的，承包人应承担一切责任。因此使发包人受到行政管理部门处罚的，其后果由承包人承担。</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(10)</w:t>
      </w:r>
      <w:r>
        <w:rPr>
          <w:color w:val="auto"/>
          <w:sz w:val="21"/>
        </w:rPr>
        <w:t>因承包人原因造成施工现场存在重大职业健康、安全与环境保护隐患，被发包人或监理人责令停工整顿的，其延误工期造成的损失由承包人承担。</w:t>
      </w:r>
    </w:p>
    <w:p>
      <w:pPr>
        <w:pStyle w:val="10"/>
        <w:numPr>
          <w:ilvl w:val="0"/>
          <w:numId w:val="0"/>
        </w:numPr>
        <w:tabs>
          <w:tab w:val="left" w:pos="799"/>
        </w:tabs>
        <w:spacing w:before="149"/>
        <w:rPr>
          <w:rFonts w:ascii="宋体" w:hAnsi="宋体" w:eastAsia="宋体" w:cs="宋体"/>
          <w:b/>
          <w:bCs/>
          <w:color w:val="auto"/>
          <w:sz w:val="24"/>
          <w:szCs w:val="28"/>
          <w:lang w:val="zh-CN" w:eastAsia="zh-CN" w:bidi="zh-CN"/>
        </w:rPr>
      </w:pPr>
      <w:r>
        <w:rPr>
          <w:rFonts w:hint="eastAsia" w:cs="宋体"/>
          <w:b/>
          <w:bCs/>
          <w:color w:val="auto"/>
          <w:sz w:val="24"/>
          <w:szCs w:val="28"/>
          <w:lang w:val="en-US" w:eastAsia="zh-CN" w:bidi="zh-CN"/>
        </w:rPr>
        <w:t>5、</w:t>
      </w:r>
      <w:r>
        <w:rPr>
          <w:rFonts w:ascii="宋体" w:hAnsi="宋体" w:eastAsia="宋体" w:cs="宋体"/>
          <w:b/>
          <w:bCs/>
          <w:color w:val="auto"/>
          <w:sz w:val="24"/>
          <w:szCs w:val="28"/>
          <w:lang w:val="zh-CN" w:eastAsia="zh-CN" w:bidi="zh-CN"/>
        </w:rPr>
        <w:t>材料和工程设备</w:t>
      </w:r>
    </w:p>
    <w:p>
      <w:pPr>
        <w:rPr>
          <w:color w:val="auto"/>
          <w:lang w:val="zh-CN" w:eastAsia="zh-CN"/>
        </w:rPr>
      </w:pP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第5.1.2项补充：</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szCs w:val="22"/>
          <w:lang w:val="zh-CN" w:eastAsia="zh-CN" w:bidi="zh-CN"/>
        </w:rPr>
      </w:pPr>
      <w:r>
        <w:rPr>
          <w:rFonts w:hint="eastAsia" w:cs="宋体"/>
          <w:color w:val="auto"/>
          <w:sz w:val="21"/>
          <w:szCs w:val="22"/>
          <w:lang w:val="en-US" w:eastAsia="zh-CN" w:bidi="zh-CN"/>
        </w:rPr>
        <w:t>(1)</w:t>
      </w:r>
      <w:r>
        <w:rPr>
          <w:rFonts w:ascii="宋体" w:hAnsi="宋体" w:eastAsia="宋体" w:cs="宋体"/>
          <w:color w:val="auto"/>
          <w:sz w:val="21"/>
          <w:szCs w:val="22"/>
          <w:lang w:val="zh-CN" w:eastAsia="zh-CN" w:bidi="zh-CN"/>
        </w:rPr>
        <w:t>承包人选定的材料和工程设备必须满足本合同工程要求。凡任何技术指标达不到发包人要求或被发包人禁止进入本合同工程的材料、设备（或材料供应商），承包人不得采购（或向其采购）用于本项目。</w:t>
      </w:r>
    </w:p>
    <w:p>
      <w:pPr>
        <w:pStyle w:val="31"/>
        <w:numPr>
          <w:ilvl w:val="0"/>
          <w:numId w:val="0"/>
        </w:numPr>
        <w:tabs>
          <w:tab w:val="left" w:pos="1313"/>
          <w:tab w:val="left" w:pos="6656"/>
          <w:tab w:val="left" w:pos="9680"/>
        </w:tabs>
        <w:spacing w:line="364" w:lineRule="auto"/>
        <w:ind w:right="-37" w:rightChars="0" w:firstLine="420" w:firstLineChars="200"/>
        <w:rPr>
          <w:color w:val="auto"/>
          <w:sz w:val="21"/>
          <w:lang w:val="zh-CN" w:eastAsia="zh-CN"/>
        </w:rPr>
      </w:pPr>
      <w:r>
        <w:rPr>
          <w:rFonts w:hint="eastAsia" w:cs="宋体"/>
          <w:color w:val="auto"/>
          <w:sz w:val="21"/>
          <w:szCs w:val="22"/>
          <w:lang w:val="en-US" w:eastAsia="zh-CN" w:bidi="zh-CN"/>
        </w:rPr>
        <w:t>(2)</w:t>
      </w:r>
      <w:r>
        <w:rPr>
          <w:rFonts w:ascii="宋体" w:hAnsi="宋体" w:eastAsia="宋体" w:cs="宋体"/>
          <w:color w:val="auto"/>
          <w:sz w:val="21"/>
          <w:szCs w:val="22"/>
          <w:lang w:val="zh-CN" w:eastAsia="zh-CN" w:bidi="zh-CN"/>
        </w:rPr>
        <w:t>工程主材（按附</w:t>
      </w:r>
      <w:r>
        <w:rPr>
          <w:color w:val="auto"/>
          <w:sz w:val="21"/>
          <w:lang w:val="zh-CN" w:eastAsia="zh-CN"/>
        </w:rPr>
        <w:t>件十《统一采购供应材料一览表》）的采购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lang w:val="zh-CN" w:eastAsia="zh-CN"/>
        </w:rPr>
        <w:t>工程主材（按附表十《统一</w:t>
      </w:r>
      <w:r>
        <w:rPr>
          <w:color w:val="auto"/>
          <w:sz w:val="21"/>
        </w:rPr>
        <w:t>采购供应材料一览表》）和其他主要材料的采购必须严格执行发包人的管理要求。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工程地材的采购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对于工程施工所需地材（碎石、砂等），承包人可自行决定采购方式，但在采购工作开展之前至少28天将主要地材的供应方案（包括采购地材的品种和数量、供应商的名单、选择该供应商的理由、质量证明文件、供货计划等）报监理人批准。永久工程用砂严禁使用海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必须通过合法的方式获取石源和砂源，应确保材料的合法来源及品质要求，对材料的运输方式、供应强度及运距等自行测算并承担风险。</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其他材料和工程设备的采购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除以上（1）～（3）条规定之外的其他材料和工程设备，承包人应将选定的各项材料和工程设备的供应商及品种、规格、质量证明文件、数量和供货计划等报送监理人和发包人核备。</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监理人和发包人对承包人采购材料和工程设备的审批、核备、监督等并不免除承包人的责任。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如果承包人采购的材料或设备是进口的，则承包人应向监理人提供由中华人民共和国进出口商品检验检疫局出具的检验证书，证明该材料或设备的质量、规格及合同规定的其他指标与合同规定相符，否则发包人有权向承包人提出索赔。</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(7)</w:t>
      </w:r>
      <w:r>
        <w:rPr>
          <w:color w:val="auto"/>
          <w:sz w:val="21"/>
        </w:rPr>
        <w:t>为最大限度确保本合同工程的施工质量，满足工程施工机械化、自动化的要求，在合同履行过程中，发包人将结合国内</w:t>
      </w:r>
      <w:r>
        <w:rPr>
          <w:rFonts w:hint="eastAsia"/>
          <w:color w:val="auto"/>
          <w:sz w:val="21"/>
        </w:rPr>
        <w:t>标</w:t>
      </w:r>
      <w:r>
        <w:rPr>
          <w:color w:val="auto"/>
          <w:sz w:val="21"/>
        </w:rPr>
        <w:t>梁、隧道等工程施工现状，以及工程实际需要，对部分施工流程或工艺等提出特殊的设备要求，承包人应无条件实施，由此所增加的设备购置费或租赁费用（合同另有约定除外）已包含在投标报价中，招标人不另行支付。</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增加5.1.4项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5.1.4项目的部分材料如采用甲控乙购的方式管理，则由承包人通过合法方式择优选择供货单位。由项目结合实际情况列明所需材料的技术指标。</w:t>
      </w:r>
    </w:p>
    <w:p>
      <w:pPr>
        <w:pStyle w:val="13"/>
        <w:spacing w:line="364" w:lineRule="auto"/>
        <w:ind w:left="438" w:right="1980"/>
        <w:rPr>
          <w:b/>
          <w:bCs/>
          <w:color w:val="auto"/>
        </w:rPr>
      </w:pPr>
      <w:r>
        <w:rPr>
          <w:b/>
          <w:bCs/>
          <w:color w:val="auto"/>
        </w:rPr>
        <w:t>5.2发包人提供的材料和工程设备</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将5.2.1项修改如下：</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5.2.1为确保本项目的建设质量，发包人将按4.3.7款关于特殊分包人或供货人的规定，将本合同附件九《特殊材料设备供应一览表》（下称一览表）规定的材料设备通过招标方式选定材料设备供货人。材料设备供货人将按表列的价格向承包人提供材料设备。对于此类特殊材料的供货，应满足以下规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发包人按一览表约定的内容提供材料设备，并负责向承包人提供产品合格证明，对其真实性负责。但此项规定并不表明免除承包人检验材料设备质量的责任。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工程开工后，承包人应根据进度计划向发包人提出本款规定的材料使用计划，由发包人按计划提供材料。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发包人在所供材料设备到货前24小时，以书面形式通知承包人；到货时，由承包人派人清点，必要时，发包人可派人参加。</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材料设备办理清点交接手续后，承包人承担产品的储存、保管责任。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一览表约定的数量为暂定数量，发包人按施工图设计和变更图纸所需的数量（含合理损耗）供应并进行结算。在承包人所承担工程全部完工后，如承包人实际用量与施工图和变更图纸所需数量相差太大而无法提供合理解释，发包人有权对承包人处以超出部分100％价值的罚金。</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一览表约定的到货地点不一致时，发包人负责运达一览表指定地点；发包人采购单价与一览表材料单价不符，发包人仅承担价差。</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(7)</w:t>
      </w:r>
      <w:r>
        <w:rPr>
          <w:color w:val="auto"/>
          <w:sz w:val="21"/>
        </w:rPr>
        <w:t>发包人供应的材料设备使用前，由承包人负责检验或试验，品种、规格、型号或质量与一览表不符的，承包人可拒绝接收，发包人应负责运出施工场地并重新采购；品种、规格或型号与一览表不符但质量经检验合格的，经监理人同意，可调剂串换使用。若上述不符是属于承包人责任造成的，则因此而增加的相应费用由承包人承担。若上述不符是属于非承包人责任造成的，并因此引起承包人工期延误或费用增加，则由发包人负责赔偿。</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(8)</w:t>
      </w:r>
      <w:r>
        <w:rPr>
          <w:color w:val="auto"/>
          <w:sz w:val="21"/>
        </w:rPr>
        <w:t>为恰当和正确地使用、安装和实施这些材料和工程设备所必需的但一览表中未列明的其他任何辅助性材料以及人工费应已经包含在承包人的合同价款中。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w:t>
      </w:r>
      <w:r>
        <w:rPr>
          <w:color w:val="auto"/>
          <w:sz w:val="21"/>
        </w:rPr>
        <w:t>发包人供应的材料款，发包人将在供应后一个至两个月内从承包人工程进度款中扣回。但为保证材料款在交工验收时得到全额扣回，发包人与承包人确认后发文调整扣回时间及比例。</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(10)</w:t>
      </w:r>
      <w:r>
        <w:rPr>
          <w:color w:val="auto"/>
          <w:sz w:val="21"/>
        </w:rPr>
        <w:t>如发包人需采用任何从国（境）外进口材料和工程设备，且这些进口的材料和工程设备直接由发包人负责采购和办理进口，则由发包人承担进口材料和工程设备的一切开支，负责办理与此类进口有关的申请、许可、证书、外汇使用等手续并承担相应的费用。如果由于发包人原因导致进口材料和工程设备不能按计划运抵现场致使工程延误，承包人应就此通知监理人，监理人在收到此类通知并与承包人适当协商之后应决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a.</w:t>
      </w:r>
      <w:r>
        <w:rPr>
          <w:color w:val="auto"/>
          <w:sz w:val="21"/>
        </w:rPr>
        <w:t>依据第11.3款规定承包人应得的延长工期；</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b.</w:t>
      </w:r>
      <w:r>
        <w:rPr>
          <w:color w:val="auto"/>
          <w:sz w:val="21"/>
        </w:rPr>
        <w:t>承包人由此而发生的额外费用增加到合同价中。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5.4</w:t>
      </w:r>
      <w:r>
        <w:rPr>
          <w:color w:val="auto"/>
          <w:sz w:val="21"/>
        </w:rPr>
        <w:t>禁止使用不合格的材料和工程设备</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在5.4.2项末尾增加：承包人还应承担由此带来的一切损失。</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在本条增加5.5款如下：</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5.5.1</w:t>
      </w:r>
      <w:r>
        <w:rPr>
          <w:color w:val="auto"/>
          <w:sz w:val="21"/>
        </w:rPr>
        <w:t>代用材料的使用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承包人需要使用代用材料时，应经监理人认可并由发包人同意后才能使用，由此增减的合同价款双方以书面形式议定。承包人需要使用代用材料，仅限于出现下列情况时：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市场上无供应或在一定时间内突然供应短缺；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政府或有关管理机构的后继规章、规定禁止使用；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发包人或监理人要求使用其他替代品；或者承包人提出，发包人和监理人批准使用其他替代</w:t>
      </w:r>
      <w:r>
        <w:rPr>
          <w:rFonts w:hint="eastAsia"/>
          <w:color w:val="auto"/>
          <w:sz w:val="21"/>
        </w:rPr>
        <w:t>品</w:t>
      </w:r>
      <w:r>
        <w:rPr>
          <w:color w:val="auto"/>
          <w:sz w:val="21"/>
        </w:rPr>
        <w:t>品；</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任何其他可能的原因使得使用其他替代品成为必要。</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没有发包人的书面同意，承包人不得自行采购5.2.1款规定的材料，否则监理人、发包人应拒收这些材料，承包人应赔偿由此带来的一切损失。无论出现任何情况，承包人均不得售卖发包人供应的材料，否则一经查实，发包人有权对承包人处以售卖材料金额两倍的违约金。</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如果使用代用材料，承包人应至少在被代换品按批准的进度计划将被用于工程前１４天以书面形式通知监理人并随此通知提交下列文件：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拟采用的替代品的名称、数量、规格、型号、品牌、性能、价格及其他必要的详细资料；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替代品使用的工程部位；</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采用替代品的理由和原因申述；</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替代品与合同中约定的产品之间的差异以及使用替代品后可能对工程产生任何方面的影响；</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w:t>
      </w:r>
      <w:r>
        <w:rPr>
          <w:color w:val="auto"/>
          <w:sz w:val="21"/>
        </w:rPr>
        <w:t>价格上的差异；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监理人为作出适当的决定而随时要求承包人提供的任何其他文件。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监理人在收到此类通知及上述文件后，应在14天内作出审查意见，并报发包人批准。发包人对使用替代品的批准以及承包人据此使用替代品不应解除承包人合同约定的任何职责和义务。任何情况下，使用替代品都应遵守本合同中其他对材料和工程设备的任何约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5.5.2</w:t>
      </w:r>
      <w:r>
        <w:rPr>
          <w:color w:val="auto"/>
          <w:sz w:val="21"/>
        </w:rPr>
        <w:t>机制砂的使用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本项目机制砂的使用应遵照省交通运输厅的粤交基[2013]898号文的规定执行。本项目不管使用机制砂或天然砂，其外购砂源、加工、运输、堆放等一切相关费用以及因此引起的材料</w:t>
      </w:r>
      <w:r>
        <w:rPr>
          <w:rFonts w:hint="eastAsia"/>
          <w:color w:val="auto"/>
          <w:sz w:val="21"/>
        </w:rPr>
        <w:t>清</w:t>
      </w:r>
      <w:r>
        <w:rPr>
          <w:color w:val="auto"/>
          <w:sz w:val="21"/>
        </w:rPr>
        <w:t>耗、</w:t>
      </w:r>
      <w:r>
        <w:rPr>
          <w:rFonts w:hint="eastAsia"/>
          <w:color w:val="auto"/>
          <w:sz w:val="21"/>
        </w:rPr>
        <w:t>施工工</w:t>
      </w:r>
      <w:r>
        <w:rPr>
          <w:color w:val="auto"/>
          <w:sz w:val="21"/>
        </w:rPr>
        <w:t>艺差别等因素，承包人应在投标报价中充分考虑并不得因此提出费用补偿要求。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w:t>
      </w:r>
      <w:r>
        <w:rPr>
          <w:color w:val="auto"/>
          <w:sz w:val="21"/>
        </w:rPr>
        <w:t>材料、工程设备和工程的试验和检验</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5.6.1</w:t>
      </w:r>
      <w:r>
        <w:rPr>
          <w:color w:val="auto"/>
          <w:sz w:val="21"/>
        </w:rPr>
        <w:t>承包人应按合同约定和专用技术标准和要求的规定以及试验人关于工地试验室的相关要求，建立工地试验室，完善试验和检验体系，对材料、工程设备和工程的质量进行试验和检验，向监理履行报检程序，并为监理人、试验人对上述材料、工程设备和工程的质量检查提供必要的试验资料和原始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5.6.2</w:t>
      </w:r>
      <w:r>
        <w:rPr>
          <w:color w:val="auto"/>
          <w:sz w:val="21"/>
        </w:rPr>
        <w:t>承包人应于工程开工前完成工地试验室建设和资质认证工作，工地试验室建设、相关配置及管理应按专用项目管理制度规定执行。</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5.6.3</w:t>
      </w:r>
      <w:r>
        <w:rPr>
          <w:color w:val="auto"/>
          <w:sz w:val="21"/>
        </w:rPr>
        <w:t>承包人工地试验室不具备资质承担的试验和检验项目，经监理人和发包人同意可对外委托具有相应资质的检测试验机构进行试验，但承包人应将相关检测试验机构有关资料报备监理人和试验检测中心。</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5.6.4</w:t>
      </w:r>
      <w:r>
        <w:rPr>
          <w:color w:val="auto"/>
          <w:sz w:val="21"/>
        </w:rPr>
        <w:t>承包人根据合同约定或监理人指示进行的现场材料试验，应由承包人提供试验场所、试验人员、试验设备器材以及其他必要的试验条件。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5.6.5</w:t>
      </w:r>
      <w:r>
        <w:rPr>
          <w:color w:val="auto"/>
          <w:sz w:val="21"/>
        </w:rPr>
        <w:t>如有必要，发包人、监理人、试验人可以免费使用承包人的试验场所、试验设备器材以及其他试验条件，进行以工程质量检查为目的的复核性材料试验，承包人应予以协助。</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5.6.6</w:t>
      </w:r>
      <w:r>
        <w:rPr>
          <w:color w:val="auto"/>
          <w:sz w:val="21"/>
        </w:rPr>
        <w:t>承包人的试验和检验和外委试验应严格执行专用项目管理制度的相关规定和要求。由承包人、监理人、试验人三方共同委外的检查项目的检测费用由承包人承担。</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5.6.7</w:t>
      </w:r>
      <w:r>
        <w:rPr>
          <w:color w:val="auto"/>
          <w:sz w:val="21"/>
        </w:rPr>
        <w:t>承包人应根据材料、工程设备进场计划和工程施工计划，制订相应试验和检验计划，按计划开展试验检测工作，并将上述计划报送监理人和试验检测中心。</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5.6.8</w:t>
      </w:r>
      <w:r>
        <w:rPr>
          <w:color w:val="auto"/>
          <w:sz w:val="21"/>
        </w:rPr>
        <w:t>承包人的试验和检验过程须接受监理人的旁站监督；承包人应接受试验检测中心的监督指导，并按试验检测中心制定的管理制度开展试验检测工作。</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5.6.9</w:t>
      </w:r>
      <w:r>
        <w:rPr>
          <w:color w:val="auto"/>
          <w:sz w:val="21"/>
        </w:rPr>
        <w:t>监理人对承包人的试验和检验结果有疑问，或为查清承包人试验和检验成果的可靠性，</w:t>
      </w:r>
      <w:r>
        <w:rPr>
          <w:rFonts w:hint="eastAsia"/>
          <w:color w:val="auto"/>
          <w:sz w:val="21"/>
        </w:rPr>
        <w:t>要</w:t>
      </w:r>
      <w:r>
        <w:rPr>
          <w:color w:val="auto"/>
          <w:sz w:val="21"/>
        </w:rPr>
        <w:t>求承包人重新试验和检验时，可由监理人、试验人与承包人共同进行。重新试验和检验的结果证明该项材料、工程设备或工程的质量不符合合同要求的，由此增加的费用和（或）工期延误由承包人承担。</w:t>
      </w:r>
    </w:p>
    <w:p>
      <w:pPr>
        <w:pStyle w:val="31"/>
        <w:numPr>
          <w:ilvl w:val="0"/>
          <w:numId w:val="0"/>
        </w:numPr>
        <w:tabs>
          <w:tab w:val="left" w:pos="1313"/>
          <w:tab w:val="left" w:pos="6656"/>
          <w:tab w:val="left" w:pos="9680"/>
        </w:tabs>
        <w:spacing w:line="364" w:lineRule="auto"/>
        <w:ind w:right="-37" w:rightChars="0" w:firstLine="420" w:firstLineChars="200"/>
        <w:rPr>
          <w:rFonts w:hint="eastAsia" w:eastAsia="宋体"/>
          <w:color w:val="auto"/>
          <w:sz w:val="21"/>
          <w:lang w:eastAsia="zh-CN"/>
        </w:rPr>
      </w:pPr>
      <w:r>
        <w:rPr>
          <w:rFonts w:hint="eastAsia"/>
          <w:color w:val="auto"/>
          <w:sz w:val="21"/>
          <w:lang w:val="en-US" w:eastAsia="zh-CN"/>
        </w:rPr>
        <w:t>5.6.10</w:t>
      </w:r>
      <w:r>
        <w:rPr>
          <w:color w:val="auto"/>
          <w:sz w:val="21"/>
        </w:rPr>
        <w:t>发包人、监理人和发包人认可的相关政府部门或其它第三方机构有权对工程的所有部位及其施工工艺、工程设备和材料进行检查和检验。承包人应为上述人员的检查和检验提供方便，包括到施工现场，或制造、加工地点，或其它地方进行察看和查阅施工原始记录。承包人还应按发包人、监理人、试验人和发包人认可的人员指示，进行施工现场取样试验、工程复核测量和设备性能检测，提供试验样品，提交试验报告和测量成果，完成上述人员要求进行的其它检查和检验工作。</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发包人、监理人、试验人和发包人认可的相关政府部门或其它第三方机构的检查和检验，不免除承包人合同约定的责任。</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5.7</w:t>
      </w:r>
      <w:r>
        <w:rPr>
          <w:b/>
          <w:bCs/>
          <w:color w:val="auto"/>
          <w:sz w:val="21"/>
        </w:rPr>
        <w:t>标准试验</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5.7.1</w:t>
      </w:r>
      <w:r>
        <w:rPr>
          <w:color w:val="auto"/>
          <w:sz w:val="21"/>
        </w:rPr>
        <w:t>对于混凝土配合比、标准干密度等标准试验，承包人应于相应分项工程开工前完成上述试验，并将试验结果报监理人，同时由试验检测中心进行相应的平行试验检验，履行审批程序后方可用于工程施工控制。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5.7.2</w:t>
      </w:r>
      <w:r>
        <w:rPr>
          <w:color w:val="auto"/>
          <w:sz w:val="21"/>
        </w:rPr>
        <w:t>当用于工程施工的原材料发生变化时，承包人应重新进行上述标准试验，并履行平行试验和审批程序。</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5.8</w:t>
      </w:r>
      <w:r>
        <w:rPr>
          <w:b/>
          <w:bCs/>
          <w:color w:val="auto"/>
          <w:sz w:val="21"/>
        </w:rPr>
        <w:t>工艺试验</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5.8.1</w:t>
      </w:r>
      <w:r>
        <w:rPr>
          <w:color w:val="auto"/>
          <w:sz w:val="21"/>
        </w:rPr>
        <w:t>承包人应按合同约定或监理人指示进行现场工艺试验。对大型的现场工艺试验，应编制工艺试验方案和计划，报送监理人审批后实施。</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5.8.2</w:t>
      </w:r>
      <w:r>
        <w:rPr>
          <w:color w:val="auto"/>
          <w:sz w:val="21"/>
        </w:rPr>
        <w:t>对于特殊工艺质量检验，承包人应制定相应的检验方案和工艺，经评委评审和发包人审核确认后应用于现场工程质量控制和检验。</w:t>
      </w:r>
    </w:p>
    <w:p>
      <w:pPr>
        <w:pStyle w:val="10"/>
        <w:numPr>
          <w:ilvl w:val="0"/>
          <w:numId w:val="0"/>
        </w:numPr>
        <w:tabs>
          <w:tab w:val="left" w:pos="799"/>
        </w:tabs>
        <w:spacing w:before="150"/>
        <w:rPr>
          <w:b/>
          <w:bCs/>
          <w:color w:val="auto"/>
        </w:rPr>
      </w:pPr>
      <w:r>
        <w:rPr>
          <w:rFonts w:hint="eastAsia"/>
          <w:b/>
          <w:bCs/>
          <w:color w:val="auto"/>
          <w:lang w:val="en-US" w:eastAsia="zh-CN"/>
        </w:rPr>
        <w:t>6、</w:t>
      </w:r>
      <w:r>
        <w:rPr>
          <w:b/>
          <w:bCs/>
          <w:color w:val="auto"/>
        </w:rPr>
        <w:t>施工设备和临时设施</w:t>
      </w:r>
    </w:p>
    <w:p>
      <w:pPr>
        <w:pStyle w:val="13"/>
        <w:spacing w:before="159" w:line="364" w:lineRule="auto"/>
        <w:ind w:left="438" w:right="3"/>
        <w:rPr>
          <w:color w:val="auto"/>
        </w:rPr>
      </w:pPr>
      <w:r>
        <w:rPr>
          <w:color w:val="auto"/>
        </w:rPr>
        <w:t>6.3要求承包人增加或更换施工设备在本款后增加一段文字：</w:t>
      </w:r>
    </w:p>
    <w:p>
      <w:pPr>
        <w:pStyle w:val="13"/>
        <w:spacing w:line="268" w:lineRule="exact"/>
        <w:ind w:left="438"/>
        <w:rPr>
          <w:color w:val="auto"/>
        </w:rPr>
      </w:pPr>
      <w:r>
        <w:rPr>
          <w:color w:val="auto"/>
        </w:rPr>
        <w:t>承包人在接到上述指令14天内未按要求执行，将按第22.1款视为承包人违约。</w:t>
      </w:r>
    </w:p>
    <w:p>
      <w:pPr>
        <w:pStyle w:val="13"/>
        <w:ind w:left="438"/>
        <w:rPr>
          <w:color w:val="auto"/>
        </w:rPr>
      </w:pPr>
      <w:r>
        <w:rPr>
          <w:color w:val="auto"/>
        </w:rPr>
        <w:t>增加6.5款如下：</w:t>
      </w:r>
    </w:p>
    <w:p>
      <w:pPr>
        <w:pStyle w:val="13"/>
        <w:spacing w:before="139"/>
        <w:ind w:left="438"/>
        <w:rPr>
          <w:color w:val="auto"/>
        </w:rPr>
      </w:pPr>
      <w:r>
        <w:rPr>
          <w:color w:val="auto"/>
        </w:rPr>
        <w:t>6.5计算机系统配置</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发包人将采用信息化手段对本项目进行管理，对计算机网络管理的有关要求和配置，承包人应积极配合并无条件接受。</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用于信息化的计算机软件配置由发包人统一购买，所需费用在100章中按暂估金额单列，并由发包人掌握使用。承包人应确保有专用计算机和一条专用网络连接线，同时应充分考虑可视化管理的手段，网络速度不小于10Mbps。</w:t>
      </w:r>
    </w:p>
    <w:p>
      <w:pPr>
        <w:pStyle w:val="31"/>
        <w:numPr>
          <w:ilvl w:val="0"/>
          <w:numId w:val="0"/>
        </w:numPr>
        <w:tabs>
          <w:tab w:val="left" w:pos="1313"/>
          <w:tab w:val="left" w:pos="6656"/>
          <w:tab w:val="left" w:pos="9680"/>
        </w:tabs>
        <w:spacing w:line="364" w:lineRule="auto"/>
        <w:ind w:right="-37" w:rightChars="0" w:firstLine="420" w:firstLineChars="200"/>
        <w:rPr>
          <w:rFonts w:hint="eastAsia" w:eastAsia="宋体"/>
          <w:color w:val="auto"/>
          <w:sz w:val="21"/>
          <w:lang w:eastAsia="zh-CN"/>
        </w:rPr>
      </w:pPr>
      <w:r>
        <w:rPr>
          <w:color w:val="auto"/>
          <w:sz w:val="21"/>
        </w:rPr>
        <w:t>承包人项目管理系统专用计算机的管理要求：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(1)项目管理系统专用的计算机应由熟悉计算机操作的管理人员专人管理，管理人员必须参加</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发包人举办的培训班。</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rPr>
        <w:t>⑵</w:t>
      </w:r>
      <w:r>
        <w:rPr>
          <w:color w:val="auto"/>
          <w:sz w:val="21"/>
        </w:rPr>
        <w:t>严禁在专用的计算机上安装软驱、光驱或进行登录Internet网及其局域网的操作。</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rPr>
        <w:t>⑶</w:t>
      </w:r>
      <w:r>
        <w:rPr>
          <w:color w:val="auto"/>
          <w:sz w:val="21"/>
        </w:rPr>
        <w:t>严禁在专用计算机上安装或卸载软件。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rPr>
        <w:t>⑷</w:t>
      </w:r>
      <w:r>
        <w:rPr>
          <w:color w:val="auto"/>
          <w:sz w:val="21"/>
        </w:rPr>
        <w:t>本网络系统对操作者进行了权限设置，任何操作员的违规操作将按照有关规定处理。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rPr>
        <w:t>⑸</w:t>
      </w:r>
      <w:r>
        <w:rPr>
          <w:color w:val="auto"/>
          <w:sz w:val="21"/>
        </w:rPr>
        <w:t>专用计算机访问登录服务器前，操作员应准备好所有要传送的资料，登录后，应立即进行传送的操作，以避免长时间占用通讯通道。严禁登录占用通讯通道后才开始整理资料或编制文档，若有此情况将视作霸用通讯通道处以经济惩罚。</w:t>
      </w:r>
    </w:p>
    <w:p>
      <w:pPr>
        <w:pStyle w:val="10"/>
        <w:spacing w:before="151"/>
        <w:ind w:left="0" w:leftChars="0" w:firstLine="0" w:firstLineChars="0"/>
        <w:rPr>
          <w:b/>
          <w:bCs/>
          <w:color w:val="auto"/>
        </w:rPr>
      </w:pPr>
      <w:r>
        <w:rPr>
          <w:b/>
          <w:bCs/>
          <w:color w:val="auto"/>
        </w:rPr>
        <w:t>7.交通运输</w:t>
      </w:r>
    </w:p>
    <w:p>
      <w:pPr>
        <w:rPr>
          <w:color w:val="auto"/>
        </w:rPr>
      </w:pP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7.2</w:t>
      </w:r>
      <w:r>
        <w:rPr>
          <w:b/>
          <w:bCs/>
          <w:color w:val="auto"/>
          <w:sz w:val="21"/>
        </w:rPr>
        <w:t>场内施工道路</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本款补充第7.2.3项：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承包人应负责对本合同段内施工便道进行建设和维护，包括便道硬底化及便</w:t>
      </w:r>
      <w:r>
        <w:rPr>
          <w:rFonts w:hint="eastAsia"/>
          <w:color w:val="auto"/>
          <w:sz w:val="21"/>
        </w:rPr>
        <w:t>标</w:t>
      </w:r>
      <w:r>
        <w:rPr>
          <w:color w:val="auto"/>
          <w:sz w:val="21"/>
        </w:rPr>
        <w:t>加固等，并无条件允许发包人、监理人、试验人、本工程其他承包人及供应商使用。如该便道因各种原因损坏而未能及时修复，影响使用的，若招标人与承包人协调无果时，发包人有权委托第三方进行修复，所发生的费用从承包人工程款中扣回，承包人应无条件接受。</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7.3</w:t>
      </w:r>
      <w:r>
        <w:rPr>
          <w:b/>
          <w:bCs/>
          <w:color w:val="auto"/>
          <w:sz w:val="21"/>
        </w:rPr>
        <w:t>场外交通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本款补充第7.3.3项：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为保证道路交通安全及运输畅通，承包人应采取以下措施：</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(a)</w:t>
      </w:r>
      <w:r>
        <w:rPr>
          <w:color w:val="auto"/>
          <w:sz w:val="21"/>
        </w:rPr>
        <w:t>承包人必须在与市政、交通和交警等部门的协商下采取足够的交通引导措施，以防止施工期间出现道路堵塞；</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(b)</w:t>
      </w:r>
      <w:r>
        <w:rPr>
          <w:color w:val="auto"/>
          <w:sz w:val="21"/>
        </w:rPr>
        <w:t>承包人制定施工材料运输计划时，应尽量避开现有道路交通高峰时的运输活动。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(c)</w:t>
      </w:r>
      <w:r>
        <w:rPr>
          <w:color w:val="auto"/>
          <w:sz w:val="21"/>
        </w:rPr>
        <w:t>承包人须编制交通组织方案，报相关部门审查批复，必要时组织评审，（合同另有约定除外）费用由承包人负责。</w:t>
      </w:r>
    </w:p>
    <w:p>
      <w:pPr>
        <w:pStyle w:val="31"/>
        <w:numPr>
          <w:ilvl w:val="0"/>
          <w:numId w:val="0"/>
        </w:numPr>
        <w:tabs>
          <w:tab w:val="left" w:pos="1313"/>
          <w:tab w:val="left" w:pos="6656"/>
          <w:tab w:val="left" w:pos="9680"/>
        </w:tabs>
        <w:spacing w:line="364" w:lineRule="auto"/>
        <w:ind w:right="-37" w:rightChars="0"/>
        <w:rPr>
          <w:b/>
          <w:bCs/>
          <w:color w:val="auto"/>
          <w:sz w:val="24"/>
          <w:szCs w:val="28"/>
        </w:rPr>
      </w:pPr>
      <w:r>
        <w:rPr>
          <w:rFonts w:hint="eastAsia"/>
          <w:b/>
          <w:bCs/>
          <w:color w:val="auto"/>
          <w:sz w:val="24"/>
          <w:szCs w:val="28"/>
          <w:lang w:val="en-US" w:eastAsia="zh-CN"/>
        </w:rPr>
        <w:t>9、</w:t>
      </w:r>
      <w:r>
        <w:rPr>
          <w:b/>
          <w:bCs/>
          <w:color w:val="auto"/>
          <w:sz w:val="24"/>
          <w:szCs w:val="28"/>
        </w:rPr>
        <w:t>施工安全、治安保卫和环境保护</w:t>
      </w:r>
    </w:p>
    <w:p>
      <w:pPr>
        <w:pStyle w:val="31"/>
        <w:numPr>
          <w:ilvl w:val="0"/>
          <w:numId w:val="0"/>
        </w:numPr>
        <w:tabs>
          <w:tab w:val="left" w:pos="1313"/>
          <w:tab w:val="left" w:pos="6656"/>
          <w:tab w:val="left" w:pos="9680"/>
        </w:tabs>
        <w:spacing w:line="364" w:lineRule="auto"/>
        <w:ind w:right="-37" w:rightChars="0" w:firstLine="420" w:firstLineChars="200"/>
        <w:rPr>
          <w:rFonts w:hint="eastAsia" w:eastAsia="宋体"/>
          <w:color w:val="auto"/>
          <w:sz w:val="21"/>
          <w:lang w:eastAsia="zh-CN"/>
        </w:rPr>
      </w:pPr>
      <w:r>
        <w:rPr>
          <w:rFonts w:hint="eastAsia"/>
          <w:color w:val="auto"/>
          <w:sz w:val="21"/>
          <w:lang w:val="en-US" w:eastAsia="zh-CN"/>
        </w:rPr>
        <w:t>9.2</w:t>
      </w:r>
      <w:r>
        <w:rPr>
          <w:color w:val="auto"/>
          <w:sz w:val="21"/>
        </w:rPr>
        <w:t>承包人的施工安全责任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第9.2.1补充以下内容：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承包人应按《广东省高速公路工程施工安全标准化指南》的规定履行安全职责。第9.2.4项细化为：承包人必须重视应急管理，在应急管理方面要做好但不限于以下工作：</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建立和完善应急组织体系。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结合工程特点建立完善的应急预案体系，承包人编制的应急预案必须和项目参建各方、项目所在地相关的应急预案体系相互衔接，互为呼应。按照应急预案的要求，组建和完善专兼职应急救援队伍、配备应急救援设施和装备，保证应急救援物资处于良好状态，确保正常使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(3)</w:t>
      </w:r>
      <w:r>
        <w:rPr>
          <w:color w:val="auto"/>
          <w:sz w:val="21"/>
        </w:rPr>
        <w:t>承包人应经常组织应急预案演练，不断完善应急预案，提升应急管理水平。发生突发事件时，迅速启动应急预案，开展各项应急处置工作。</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(4)</w:t>
      </w:r>
      <w:r>
        <w:rPr>
          <w:color w:val="auto"/>
          <w:sz w:val="21"/>
        </w:rPr>
        <w:t>承包人应主动接受所在地人民政府安全生产监督管理部门和有关主管部门安全监督指导，并积极配合相关单位做好应急管理工作，因上述单位要求而增加的安全设备、措施、防护等费用，原则上由承包人从安全生产费用中列支，发包人不另行支付。</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第9.2.5项细化为：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根据国家、省和厅《广东省公路水运建设工程安全生产费用管理办法》等规定要求，为督促承包人做好工程施工安全工作，本合同设立安全生产费。安全生产费以最高投标限价所包含的全部建筑安装工程费用为计算基数（工程量清单第100章至第900章费用之和，并扣除安全生产费本身和建筑工程一切险及第三者责任除的保险费）的1.5%计入工程量清单支付子目102-3中。</w:t>
      </w:r>
    </w:p>
    <w:p>
      <w:pPr>
        <w:pStyle w:val="31"/>
        <w:numPr>
          <w:ilvl w:val="0"/>
          <w:numId w:val="0"/>
        </w:numPr>
        <w:tabs>
          <w:tab w:val="left" w:pos="1313"/>
          <w:tab w:val="left" w:pos="6656"/>
          <w:tab w:val="left" w:pos="9680"/>
        </w:tabs>
        <w:spacing w:line="364" w:lineRule="auto"/>
        <w:ind w:right="-37" w:rightChars="0" w:firstLine="420" w:firstLineChars="200"/>
        <w:rPr>
          <w:color w:val="auto"/>
          <w:sz w:val="21"/>
          <w:lang w:val="en-US"/>
        </w:rPr>
      </w:pPr>
      <w:r>
        <w:rPr>
          <w:color w:val="auto"/>
          <w:sz w:val="21"/>
        </w:rPr>
        <w:t>发生较大、重大设计变更造成施工单位实际投入安全生产费总额与合同约定不一致时，差额部分的安全生产费由发包人按批复变更金额和规定提取比例同时调整，调整比例为变更增减金额的</w:t>
      </w:r>
      <w:r>
        <w:rPr>
          <w:rFonts w:hint="eastAsia"/>
          <w:color w:val="auto"/>
          <w:sz w:val="21"/>
          <w:lang w:val="en-US"/>
        </w:rPr>
        <w:t>1.5%。</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获得支付的额度取决于承包人施工安全防护用具及设施的采购和更新、安全施工措施的落实、安全生产条件的改善，安全生产检查、评价、咨询和标准化建设的支出，安全生产宣传、教育、培训的支出，安全生产适用的新技术、新标准、新工艺、新装备的推广应用支出，安全设施及特种设备检测检验支出，其它与安全生产直接相关支出等。安全生产经费由发包人根据监理人和发包人代表对安全费用清单的签字确认进行支付。承包人应制订安全经费总体计划，有详细的安全经费使用台账，按有关规定及时申请安全经费的计量和支付。</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有权要求承包人完善安全生产设施、措施和条件，对不主动投入的承包人，发包人有权直接为其追加安全生产投入，费用从承包人安全生产费中支出。如在项目开工前或施工过程中，发包人及上级主管单位对承包人的安全生产设施、设备进行检查，发现隐患而承包人未能在限期内完成整改的，发包人有权请第三方协助承包人代为整改，所需费用在计提的安全生产费中支付。若整改费用超过计提的安全生产费，发包人有权向承包人追讨整改费用与计提的安全生产费的差额部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第9.2.6项细化为: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承包人对其分包施工现场的安全生产负总责。分包合同中应当明确各自的安全生产方面的权利、义务，承包人和分包人对分包工程的安全生产承担连带责任。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第9.2.8（4）目细化为：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根据本合同各单位工程的施工特点，严格执行《公路水运工程安全生产监督管理办法》、《公路工程施工安全技术规范》等有关规定。承包人须成立安全生产组织机构和独立的安全生产管理部门，配备安全专职副经理和专职安全生产管理人员，明确安全生产第一责任人、直接责任人及其职责，如责任人和专职安全管理人员发生变动，必须立即书面通知监理人和发包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在本款增加第9.2.12项～第9.2.13项：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9.2.12</w:t>
      </w:r>
      <w:r>
        <w:rPr>
          <w:color w:val="auto"/>
          <w:sz w:val="21"/>
        </w:rPr>
        <w:t>凡是与已建公路、铁路、航道等有交叉、干扰的地段，承包人应合理安排施工组织计划，采取有效措施保证施工安全及交通的畅通；凡是与其他在建工程有互扰的地段，承包人应做好与其它施工单位、当地有关部门的协调工作；承包人应对上述所有工作负责，发包人将根据承包人的要求给予适当协助。承包人应将其采取上述措施而可能发生的全部费用计入投标报价中，发包人将不另行支付。如因承包人采取措施不力，影响公路、铁路、航道正常安全运营而给其他部门或个人造成的一切损失，或由上述原因造成本工程工期的拖延或费用的增加，均由承包人自行负责。由于承包人原因所导致的安全事故，造成的一切损失、赔偿和责任（包括对项目本身及参建各方造成的损害赔偿、对项目邻近区域造成的损害赔偿等）均由承包人承担。</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9.2.13</w:t>
      </w:r>
      <w:r>
        <w:rPr>
          <w:color w:val="auto"/>
          <w:sz w:val="21"/>
        </w:rPr>
        <w:t>施工安全风险评估</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承包人必须加强对重大危险源的管理，施工阶段风险源辨识与评价依据《公路</w:t>
      </w:r>
      <w:r>
        <w:rPr>
          <w:rFonts w:hint="eastAsia"/>
          <w:color w:val="auto"/>
          <w:sz w:val="21"/>
        </w:rPr>
        <w:t>标</w:t>
      </w:r>
      <w:r>
        <w:rPr>
          <w:color w:val="auto"/>
          <w:sz w:val="21"/>
        </w:rPr>
        <w:t>梁和隧道工程施工安全风险评估指南》（试行）及《高速公路路堑高边坡工程施工安全风险评估指南》（试行）操作。承包人在工程开工前，必须进行重大危险源识别，建立危险源清单，对重大危险源建立管理方案和档案，过程中对危险源实行动态管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承包人应严格按照交通运输部《关于开展公路</w:t>
      </w:r>
      <w:r>
        <w:rPr>
          <w:rFonts w:hint="eastAsia"/>
          <w:color w:val="auto"/>
          <w:sz w:val="21"/>
        </w:rPr>
        <w:t>标</w:t>
      </w:r>
      <w:r>
        <w:rPr>
          <w:color w:val="auto"/>
          <w:sz w:val="21"/>
        </w:rPr>
        <w:t>梁和隧道工程施工安全风险评估试行工作的通知》（交质监发〔2011〕217号）文及《关于发布高速公路路堑边坡工程施工安全风险评估指</w:t>
      </w:r>
      <w:r>
        <w:rPr>
          <w:rFonts w:hint="eastAsia"/>
          <w:color w:val="auto"/>
          <w:sz w:val="21"/>
        </w:rPr>
        <w:t>南</w:t>
      </w:r>
      <w:r>
        <w:rPr>
          <w:color w:val="auto"/>
          <w:sz w:val="21"/>
        </w:rPr>
        <w:t>（试行）的通知》（交安监发〔2014〕266号）文的要求，在施工期间开展安全风险评估工作，相关费用按照《企业安全生产费用提取和使用管理办法》（财企〔2012〕16号）第十三条安全生产费用使用范围的规定，公路</w:t>
      </w:r>
      <w:r>
        <w:rPr>
          <w:rFonts w:hint="eastAsia"/>
          <w:color w:val="auto"/>
          <w:sz w:val="21"/>
        </w:rPr>
        <w:t>标</w:t>
      </w:r>
      <w:r>
        <w:rPr>
          <w:color w:val="auto"/>
          <w:sz w:val="21"/>
        </w:rPr>
        <w:t>梁和隧道工程、高速公路路堑高边坡施工安全风险评估工作费用在项目安全生产费用中列支，发包人不另行支付。</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9.4</w:t>
      </w:r>
      <w:r>
        <w:rPr>
          <w:b/>
          <w:bCs/>
          <w:color w:val="auto"/>
          <w:sz w:val="21"/>
        </w:rPr>
        <w:t>环境保护</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在第9.4.7（2）目增加以下内容：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e.</w:t>
      </w:r>
      <w:r>
        <w:rPr>
          <w:color w:val="auto"/>
          <w:sz w:val="21"/>
        </w:rPr>
        <w:t>隧道出渣、钻孔灌注桩施工时排出的泥浆等施工废弃物要妥善处理，弃置形式及地点须经相关主管部门的批准，严禁向海洋、河流、荒地或市政管道等排放。</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f.</w:t>
      </w:r>
      <w:r>
        <w:rPr>
          <w:color w:val="auto"/>
          <w:sz w:val="21"/>
        </w:rPr>
        <w:t>承包人必须依照《广东省交通运输厅关于加强公路水运建设项目施工现场扬尘管理的通知》（粤交基函[2017]3242号），加强施工现场管理，防止工程周边扬尘污染，运输车辆经冲洗干净后方可驶出建设工地。</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在9.4.10项未增加以下内容：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根据广东省国土资源厅关于印发《非农建设占用水田耕作层剥离再利用工作指引》的通知（粤国土资耕保发[2018]37号）要求，本项目按照《耕作层土壤剥离利用技术规范》（TD/T1048---2016）对占用水田耕作层进行剥离再利用，发包人将根据相关政策及地方政府制定的实施方案，推进本项目占用水田耕作层剥离工作，承包人应无条件配合。</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在9.4款下增加9.4.12～9.4.16项：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9.4.12</w:t>
      </w:r>
      <w:r>
        <w:rPr>
          <w:color w:val="auto"/>
          <w:sz w:val="21"/>
        </w:rPr>
        <w:t>承包人应落实环境保护及水土保持的责任人，施工过程及施工结束后应严格按照有关环保及水土保持的规定执行。自觉接受监理人的环保及水土保持教育，落实实施施工场地符合相关环保要求布设；施工组织设计应按“水土保持方案报告书”有关要求制定施工中的水保措施，认真做好项目实施过程及工程结束后的水土保持的防御措施，做好有关水土保持的资料的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9.4.13</w:t>
      </w:r>
      <w:r>
        <w:rPr>
          <w:color w:val="auto"/>
          <w:sz w:val="21"/>
        </w:rPr>
        <w:t>承包人依法取得砍伐许可后方可按照砍伐许可的面积、株数、树种进行砍伐，并注意保护野生动植物；施工结束后，对施工期占用的施工便道、料场、拌和场及施工场地等临时用地，按“破坏一处，恢复一处”的原则，进行全面恢复。</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9.4.14</w:t>
      </w:r>
      <w:r>
        <w:rPr>
          <w:color w:val="auto"/>
          <w:sz w:val="21"/>
        </w:rPr>
        <w:t>承包人必须采取有效预防措施，防止雨水对施工场所占有的土地、临时用地、路基土石方、取弃土场等冲刷而造成对河流、水道、灌溉渠、排水系统产生淤积、堵塞，对农田造成污染、淹没。同时也应采取措施防止在施工过程中因材料运输、混合料拌和、现场施工而对项目沿线的建筑、既有道路、农田、林地、河流、水道、灌溉渠、排水系统等产生破坏，从而造成索赔、施工停工或工程质量隐患。如承包人未采取有效措施，由此产生的一切损失由承包人自行负责。</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9.4.15</w:t>
      </w:r>
      <w:r>
        <w:rPr>
          <w:color w:val="auto"/>
          <w:sz w:val="21"/>
        </w:rPr>
        <w:t>除合同有另外规定外，以上工作均视为承包人已经在合同报价中计入其影响而可能发生的一切费用，对承包人采取的一切措施，发包人和监理人有权监督，如果承包人未能对上述事项采取各种必要的措施而导致或发生与此有关的违约金、索赔、损失赔偿、诉讼费用以及其他一切责任由承包人负责。</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9.4.16</w:t>
      </w:r>
      <w:r>
        <w:rPr>
          <w:color w:val="auto"/>
          <w:sz w:val="21"/>
        </w:rPr>
        <w:t>文明、环保施工价款</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为督促承包人在施工过程中，做到文明施工，加强环境保护、水土保持等工作，本合同设立文明、环保施工价款。该金额按技术规范100章规定的方式在工程量清单中单列。承包人获得支付的额度取决于其施工环保情况及相关检查评比中的名次。有关评比方案发包人将在承包人进场后予以制定。</w:t>
      </w:r>
    </w:p>
    <w:p>
      <w:pPr>
        <w:pStyle w:val="31"/>
        <w:numPr>
          <w:ilvl w:val="0"/>
          <w:numId w:val="0"/>
        </w:numPr>
        <w:tabs>
          <w:tab w:val="left" w:pos="1313"/>
          <w:tab w:val="left" w:pos="6656"/>
          <w:tab w:val="left" w:pos="9680"/>
        </w:tabs>
        <w:spacing w:line="364" w:lineRule="auto"/>
        <w:ind w:right="-37" w:rightChars="0"/>
        <w:rPr>
          <w:b/>
          <w:bCs/>
          <w:color w:val="auto"/>
          <w:sz w:val="22"/>
          <w:szCs w:val="24"/>
        </w:rPr>
      </w:pPr>
      <w:r>
        <w:rPr>
          <w:rFonts w:hint="eastAsia"/>
          <w:b/>
          <w:bCs/>
          <w:color w:val="auto"/>
          <w:sz w:val="22"/>
          <w:szCs w:val="24"/>
          <w:lang w:val="en-US" w:eastAsia="zh-CN"/>
        </w:rPr>
        <w:t>10.</w:t>
      </w:r>
      <w:r>
        <w:rPr>
          <w:b/>
          <w:bCs/>
          <w:color w:val="auto"/>
          <w:sz w:val="22"/>
          <w:szCs w:val="24"/>
        </w:rPr>
        <w:t>进度计划</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b/>
          <w:bCs/>
          <w:color w:val="auto"/>
          <w:sz w:val="21"/>
        </w:rPr>
        <w:t>10.1合同进度计划</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编制施工方案说明的内容包括：按照关键线路网络图和主要工作横道图两种形式分别编绘合同进度计划，列出各主要工程项目的计划开工、完工时间，并应包括每个阶段预计完成的工作量和形象进度。计划中应包括工程的施工时间、方法和顺序，资源的安排，材料、设备及人员的获得和运输等。</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10.3年度施工计划</w:t>
      </w:r>
    </w:p>
    <w:p>
      <w:pPr>
        <w:pStyle w:val="31"/>
        <w:numPr>
          <w:ilvl w:val="0"/>
          <w:numId w:val="0"/>
        </w:numPr>
        <w:tabs>
          <w:tab w:val="left" w:pos="1313"/>
          <w:tab w:val="left" w:pos="6656"/>
          <w:tab w:val="left" w:pos="9680"/>
        </w:tabs>
        <w:spacing w:line="364" w:lineRule="auto"/>
        <w:ind w:right="-37" w:rightChars="0"/>
        <w:rPr>
          <w:color w:val="auto"/>
          <w:sz w:val="21"/>
        </w:rPr>
      </w:pPr>
      <w:r>
        <w:rPr>
          <w:color w:val="auto"/>
          <w:sz w:val="21"/>
        </w:rPr>
        <w:t>在本款末增加以下内容：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在年度施工计划的基础上，承包人应根据发包人及监理人的具体安排编制和落实其它阶段性施工计划。</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增加10.5款如下：</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10.5</w:t>
      </w:r>
      <w:r>
        <w:rPr>
          <w:b/>
          <w:bCs/>
          <w:color w:val="auto"/>
          <w:sz w:val="21"/>
        </w:rPr>
        <w:t>工程进度记录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承包人应保持每日、每月和其他定期的工程进度记录和报告，这些记录和报告包括下列有关资料：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(a)</w:t>
      </w:r>
      <w:r>
        <w:rPr>
          <w:color w:val="auto"/>
          <w:sz w:val="21"/>
        </w:rPr>
        <w:t>气象条件；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(b)施工记录；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(c)</w:t>
      </w:r>
      <w:r>
        <w:rPr>
          <w:color w:val="auto"/>
          <w:sz w:val="21"/>
        </w:rPr>
        <w:t>施工设施和设备状况；</w:t>
      </w:r>
    </w:p>
    <w:p>
      <w:pPr>
        <w:pStyle w:val="31"/>
        <w:numPr>
          <w:ilvl w:val="0"/>
          <w:numId w:val="0"/>
        </w:numPr>
        <w:tabs>
          <w:tab w:val="left" w:pos="1313"/>
          <w:tab w:val="left" w:pos="6656"/>
          <w:tab w:val="left" w:pos="9680"/>
        </w:tabs>
        <w:spacing w:line="364" w:lineRule="auto"/>
        <w:ind w:right="-37" w:rightChars="0" w:firstLine="420" w:firstLineChars="200"/>
        <w:rPr>
          <w:rFonts w:hint="eastAsia" w:eastAsia="宋体"/>
          <w:color w:val="auto"/>
          <w:sz w:val="21"/>
          <w:lang w:eastAsia="zh-CN"/>
        </w:rPr>
      </w:pPr>
      <w:r>
        <w:rPr>
          <w:rFonts w:hint="eastAsia"/>
          <w:color w:val="auto"/>
          <w:sz w:val="21"/>
          <w:lang w:val="en-US" w:eastAsia="zh-CN"/>
        </w:rPr>
        <w:t>(d)</w:t>
      </w:r>
      <w:r>
        <w:rPr>
          <w:color w:val="auto"/>
          <w:sz w:val="21"/>
        </w:rPr>
        <w:t>承包人人员统计；</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(e)现场材料，材料搬移记录、交货期、发票及有关资料；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(f)</w:t>
      </w:r>
      <w:r>
        <w:rPr>
          <w:color w:val="auto"/>
          <w:sz w:val="21"/>
        </w:rPr>
        <w:t>环境保护、水土保持实施记录；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(g)</w:t>
      </w:r>
      <w:r>
        <w:rPr>
          <w:color w:val="auto"/>
          <w:sz w:val="21"/>
        </w:rPr>
        <w:t>安全生产实施记录；</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(h)</w:t>
      </w:r>
      <w:r>
        <w:rPr>
          <w:color w:val="auto"/>
          <w:sz w:val="21"/>
        </w:rPr>
        <w:t>所有在施工过程中发生的其它事项。</w:t>
      </w:r>
    </w:p>
    <w:p>
      <w:pPr>
        <w:pStyle w:val="10"/>
        <w:spacing w:before="66"/>
        <w:ind w:left="0" w:leftChars="0" w:firstLine="0" w:firstLineChars="0"/>
        <w:rPr>
          <w:b/>
          <w:bCs/>
          <w:color w:val="auto"/>
        </w:rPr>
      </w:pPr>
      <w:r>
        <w:rPr>
          <w:b/>
          <w:bCs/>
          <w:color w:val="auto"/>
        </w:rPr>
        <w:t>11</w:t>
      </w:r>
      <w:r>
        <w:rPr>
          <w:rFonts w:hint="eastAsia"/>
          <w:b/>
          <w:bCs/>
          <w:color w:val="auto"/>
          <w:lang w:eastAsia="zh-CN"/>
        </w:rPr>
        <w:t>、</w:t>
      </w:r>
      <w:r>
        <w:rPr>
          <w:b/>
          <w:bCs/>
          <w:color w:val="auto"/>
        </w:rPr>
        <w:t>开工和竣工</w:t>
      </w:r>
    </w:p>
    <w:p>
      <w:pPr>
        <w:pStyle w:val="13"/>
        <w:spacing w:before="4"/>
        <w:rPr>
          <w:color w:val="auto"/>
          <w:sz w:val="20"/>
        </w:rPr>
      </w:pPr>
    </w:p>
    <w:p>
      <w:pPr>
        <w:pStyle w:val="31"/>
        <w:numPr>
          <w:ilvl w:val="0"/>
          <w:numId w:val="0"/>
        </w:numPr>
        <w:tabs>
          <w:tab w:val="left" w:pos="913"/>
        </w:tabs>
        <w:ind w:left="438" w:leftChars="0"/>
        <w:rPr>
          <w:b/>
          <w:bCs/>
          <w:color w:val="auto"/>
          <w:sz w:val="21"/>
        </w:rPr>
      </w:pPr>
      <w:r>
        <w:rPr>
          <w:rFonts w:hint="eastAsia"/>
          <w:b/>
          <w:bCs/>
          <w:color w:val="auto"/>
          <w:sz w:val="21"/>
          <w:lang w:val="en-US" w:eastAsia="zh-CN"/>
        </w:rPr>
        <w:t>11.3</w:t>
      </w:r>
      <w:r>
        <w:rPr>
          <w:b/>
          <w:bCs/>
          <w:color w:val="auto"/>
          <w:sz w:val="21"/>
        </w:rPr>
        <w:t>发包人的工期延误</w:t>
      </w:r>
    </w:p>
    <w:p>
      <w:pPr>
        <w:pStyle w:val="31"/>
        <w:tabs>
          <w:tab w:val="left" w:pos="913"/>
        </w:tabs>
        <w:ind w:firstLine="0"/>
        <w:rPr>
          <w:color w:val="auto"/>
          <w:sz w:val="21"/>
        </w:rPr>
      </w:pP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本款细化为：</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在履行合同过程中，由于发包人的下列原因造成工期延误的，承包人在满足发包人的项目总体工期目标前提下，有权要求发包人顺延工期，需要修订合同进度计划的，按照第10.2款的约定办理。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w:t>
      </w:r>
      <w:r>
        <w:rPr>
          <w:color w:val="auto"/>
          <w:sz w:val="21"/>
        </w:rPr>
        <w:t>由于征地拆迁的原因造成关键工程的施工人员、机械设备闲置；</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(2)</w:t>
      </w:r>
      <w:r>
        <w:rPr>
          <w:color w:val="auto"/>
          <w:sz w:val="21"/>
        </w:rPr>
        <w:t>未按合同约定及时支付预付款、进度款。</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如顺延合同工期在个月以内的，发包人将不予增加费用；</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11.4</w:t>
      </w:r>
      <w:r>
        <w:rPr>
          <w:b/>
          <w:bCs/>
          <w:color w:val="auto"/>
          <w:sz w:val="21"/>
        </w:rPr>
        <w:t>异常恶劣的气候条件</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异常恶劣的气候条件是指六级以上地震、十级以上强风暴、龙卷风或五十年一遇以上洪水造成重大破坏等情况无法施工持续30天以上者。</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11.5</w:t>
      </w:r>
      <w:r>
        <w:rPr>
          <w:b/>
          <w:bCs/>
          <w:color w:val="auto"/>
          <w:sz w:val="21"/>
        </w:rPr>
        <w:t>承包人的工期延误</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在本款后增加第(6)项：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(6)</w:t>
      </w:r>
      <w:r>
        <w:rPr>
          <w:color w:val="auto"/>
          <w:sz w:val="21"/>
        </w:rPr>
        <w:t>由于承包人的原因连续三个月未能完成发包人下发（批复）的月计划任务的80%或累计未能完成发包人下发（批复）的季度计划任务的</w:t>
      </w:r>
      <w:r>
        <w:rPr>
          <w:color w:val="auto"/>
          <w:sz w:val="21"/>
          <w:u w:val="single"/>
        </w:rPr>
        <w:t>80</w:t>
      </w:r>
      <w:r>
        <w:rPr>
          <w:color w:val="auto"/>
          <w:sz w:val="21"/>
        </w:rPr>
        <w:t>%，发包人和监理人将认为该承包人没有能力在招标文件规定的施工工期内完成合同工程量。若在施工过程中，经发包人评估因承包人的责任造成工程进度滞后且可能将导致该项目的总体通车时间拖后的，属承包人违约，发包人有权单方终止合同，发包人将视承包人的实际施工能力情况，可按4.3.8款将该合同段内剩余工程的部分或全部进行特殊分包，另选施工单位进行剩余工程的施工，对此，承包人须无条件接受，并由发包人决定是否对承包人的合同价做相应调整，因此而增加的一切费用由承包人承担。发包人按照承包人自开工以来，至发包人发出终止合同的函件止所完成的工程量扣除相应违约违约金等后与承包人清算，因承包人退场产生的所有费用由承包人自行负责，发包人不因此额外补偿任何费用。在发包人向承包人发出终止合同28天内，承包人应将剩余工程移交予发包人或发包人重新选定的承包人，并撤离所有的施工人员、机械、设备，不得阻挠、干扰发包人重新选定的承包人进场施工，如承包人逾期不退场的，发包人有权委托第三方清理，所需费用由承包人承担。只有在承包人退场后，发包人才支付应付工程款。但无论如何，承包人应按发包人要求提供已有的临时设施（如便道、电力线路等）供新选定的承包人使用，承包人不得为此要求增加任何费用。</w:t>
      </w:r>
    </w:p>
    <w:p>
      <w:pPr>
        <w:pStyle w:val="31"/>
        <w:numPr>
          <w:ilvl w:val="0"/>
          <w:numId w:val="0"/>
        </w:numPr>
        <w:tabs>
          <w:tab w:val="left" w:pos="1313"/>
          <w:tab w:val="left" w:pos="6656"/>
          <w:tab w:val="left" w:pos="9680"/>
        </w:tabs>
        <w:spacing w:line="364" w:lineRule="auto"/>
        <w:ind w:right="-37" w:rightChars="0"/>
        <w:rPr>
          <w:b/>
          <w:bCs/>
          <w:color w:val="auto"/>
          <w:sz w:val="24"/>
          <w:szCs w:val="28"/>
        </w:rPr>
      </w:pPr>
      <w:r>
        <w:rPr>
          <w:rFonts w:hint="eastAsia"/>
          <w:b/>
          <w:bCs/>
          <w:color w:val="auto"/>
          <w:sz w:val="24"/>
          <w:szCs w:val="28"/>
          <w:lang w:val="en-US" w:eastAsia="zh-CN"/>
        </w:rPr>
        <w:t>12、</w:t>
      </w:r>
      <w:r>
        <w:rPr>
          <w:b/>
          <w:bCs/>
          <w:color w:val="auto"/>
          <w:sz w:val="24"/>
          <w:szCs w:val="28"/>
        </w:rPr>
        <w:t>暂停施工</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12.1</w:t>
      </w:r>
      <w:r>
        <w:rPr>
          <w:b/>
          <w:bCs/>
          <w:color w:val="auto"/>
          <w:sz w:val="21"/>
        </w:rPr>
        <w:t>承包人暂停施工的责任</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val="en-US" w:eastAsia="zh-CN"/>
        </w:rPr>
      </w:pPr>
      <w:r>
        <w:rPr>
          <w:color w:val="auto"/>
          <w:sz w:val="21"/>
        </w:rPr>
        <w:t>12.1(6)由承包人承担的其他暂停施工：</w:t>
      </w:r>
      <w:r>
        <w:rPr>
          <w:rFonts w:hint="eastAsia"/>
          <w:color w:val="auto"/>
          <w:sz w:val="21"/>
        </w:rPr>
        <w:t>承包人责任造成</w:t>
      </w:r>
      <w:r>
        <w:rPr>
          <w:rFonts w:hint="eastAsia"/>
          <w:color w:val="auto"/>
          <w:sz w:val="21"/>
          <w:lang w:eastAsia="zh-CN"/>
        </w:rPr>
        <w:t>。</w:t>
      </w:r>
    </w:p>
    <w:p>
      <w:pPr>
        <w:pStyle w:val="31"/>
        <w:numPr>
          <w:ilvl w:val="0"/>
          <w:numId w:val="0"/>
        </w:numPr>
        <w:tabs>
          <w:tab w:val="left" w:pos="1313"/>
          <w:tab w:val="left" w:pos="6656"/>
          <w:tab w:val="left" w:pos="9680"/>
        </w:tabs>
        <w:spacing w:line="364" w:lineRule="auto"/>
        <w:ind w:right="-37" w:rightChars="0"/>
        <w:rPr>
          <w:b/>
          <w:bCs/>
          <w:color w:val="auto"/>
          <w:sz w:val="24"/>
          <w:szCs w:val="28"/>
        </w:rPr>
      </w:pPr>
      <w:r>
        <w:rPr>
          <w:rFonts w:hint="eastAsia"/>
          <w:b/>
          <w:bCs/>
          <w:color w:val="auto"/>
          <w:sz w:val="24"/>
          <w:szCs w:val="28"/>
          <w:lang w:val="en-US" w:eastAsia="zh-CN"/>
        </w:rPr>
        <w:t>13、</w:t>
      </w:r>
      <w:r>
        <w:rPr>
          <w:b/>
          <w:bCs/>
          <w:color w:val="auto"/>
          <w:sz w:val="24"/>
          <w:szCs w:val="28"/>
        </w:rPr>
        <w:t>工程质量</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13.1</w:t>
      </w:r>
      <w:r>
        <w:rPr>
          <w:b/>
          <w:bCs/>
          <w:color w:val="auto"/>
          <w:sz w:val="21"/>
        </w:rPr>
        <w:t>工程质量要求</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在本款第13.1.2项后增加以下内容：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工程经过验收并计量之后的任何时候，因任何方式（包括政府质量监督部门、发包人或监理人组织的各类检查）发现的关键工程质量不合格、工序不规范造成质量隐患，承包人应负责自费返工并接受按本篇附件十三《工程质量、安全及文明施工处罚项目一览表》的规定进行的处罚。该处罚不免除承包人自费进行返工或修复的责任。</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13.7</w:t>
      </w:r>
      <w:r>
        <w:rPr>
          <w:b/>
          <w:bCs/>
          <w:color w:val="auto"/>
          <w:sz w:val="21"/>
        </w:rPr>
        <w:t>承包人偷工减料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施工过程中存在偷工减料，有意降低工程质量，企图蒙骗发包人、监理人的，属于承包人违约，经发包人发现确认，情节严重的，发包人有权单方终止合同，另选承包人进行剩余工程的施工。发包人按照承包人自开工以来，至发包人发出终止合同的函件止所完成的工程量与承包人清算，因承包人退场产生的所有费用由承包人自行负责，发包人不因此额外补偿任何费用。同时，发包人单方终止合同并不免除承包人修复已施工的不合格工程的责任。</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13.8</w:t>
      </w:r>
      <w:r>
        <w:rPr>
          <w:b/>
          <w:bCs/>
          <w:color w:val="auto"/>
          <w:sz w:val="21"/>
        </w:rPr>
        <w:t>承包人质量自检</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承包人必须建立完善的质量自检体系，对已完工程进行严格的质量自检，只有自检合格的工程才能向监理人、发包人提出验收和计量的申请。监理人在收到验收申请后的48小时内对工程进行抽检和验</w:t>
      </w:r>
      <w:r>
        <w:rPr>
          <w:rFonts w:hint="eastAsia"/>
          <w:color w:val="auto"/>
          <w:sz w:val="21"/>
        </w:rPr>
        <w:t>收</w:t>
      </w:r>
      <w:r>
        <w:rPr>
          <w:color w:val="auto"/>
          <w:sz w:val="21"/>
        </w:rPr>
        <w:t>收，对抽检不合格的工程由承包人自费修复或返工。</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13.9</w:t>
      </w:r>
      <w:r>
        <w:rPr>
          <w:b/>
          <w:bCs/>
          <w:color w:val="auto"/>
          <w:sz w:val="21"/>
        </w:rPr>
        <w:t>不定期现场检查</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发包人和监理人将不定期进行现场检查，并按本篇附件的规定进行处罚，承包人必须接受。</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13.10</w:t>
      </w:r>
      <w:r>
        <w:rPr>
          <w:b/>
          <w:bCs/>
          <w:color w:val="auto"/>
          <w:sz w:val="21"/>
        </w:rPr>
        <w:t>施工误差</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严格执行交通运输部《公路工程质量检验评定标准》以及发包人制定的工程管理手册，不满足要求的一切返工费用由承包人负责并无条件接受发包人相关条例违约金。</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b/>
          <w:bCs/>
          <w:color w:val="auto"/>
          <w:sz w:val="21"/>
        </w:rPr>
        <w:t>13.12未解除承包人的义务和责任</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承包人是工程质量的直接责任人，监理人对工程材料和施工工艺的认可或对工程进行验收和计量支付，并不免除承包人对这些工程的合同责任。承包人不但应对质量缺陷或质量事故进行自费修复或返工，还应承担由此带来的一切损失。如承包人出现严重的质量缺陷或质量事故，除应承担上述责任和处罚外，视为承包人违约，发包人有权单方终止合同</w:t>
      </w:r>
      <w:r>
        <w:rPr>
          <w:rFonts w:hint="eastAsia"/>
          <w:color w:val="auto"/>
          <w:sz w:val="21"/>
        </w:rPr>
        <w:t>。</w:t>
      </w:r>
    </w:p>
    <w:p>
      <w:pPr>
        <w:pStyle w:val="10"/>
        <w:numPr>
          <w:ilvl w:val="0"/>
          <w:numId w:val="0"/>
        </w:numPr>
        <w:tabs>
          <w:tab w:val="left" w:pos="919"/>
        </w:tabs>
        <w:spacing w:line="306" w:lineRule="exact"/>
        <w:rPr>
          <w:b/>
          <w:bCs/>
          <w:color w:val="auto"/>
        </w:rPr>
      </w:pPr>
      <w:r>
        <w:rPr>
          <w:rFonts w:hint="eastAsia"/>
          <w:b/>
          <w:bCs/>
          <w:color w:val="auto"/>
          <w:lang w:val="en-US" w:eastAsia="zh-CN"/>
        </w:rPr>
        <w:t>15、</w:t>
      </w:r>
      <w:r>
        <w:rPr>
          <w:b/>
          <w:bCs/>
          <w:color w:val="auto"/>
        </w:rPr>
        <w:t>变更</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15.3</w:t>
      </w:r>
      <w:r>
        <w:rPr>
          <w:b/>
          <w:bCs/>
          <w:color w:val="auto"/>
          <w:sz w:val="21"/>
        </w:rPr>
        <w:t>变更程序</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在本款第15.3.4项后增加以下内容：</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同时工程变更还应执行广东省交通运输厅及发包人颁布的相关变更管理办法规定。</w:t>
      </w:r>
    </w:p>
    <w:p>
      <w:pPr>
        <w:pStyle w:val="31"/>
        <w:numPr>
          <w:ilvl w:val="0"/>
          <w:numId w:val="0"/>
        </w:numPr>
        <w:tabs>
          <w:tab w:val="left" w:pos="1313"/>
          <w:tab w:val="left" w:pos="6656"/>
          <w:tab w:val="left" w:pos="9680"/>
        </w:tabs>
        <w:spacing w:line="364" w:lineRule="auto"/>
        <w:ind w:right="-37" w:rightChars="0" w:firstLine="422" w:firstLineChars="200"/>
        <w:rPr>
          <w:b/>
          <w:bCs/>
          <w:color w:val="auto"/>
          <w:sz w:val="21"/>
        </w:rPr>
      </w:pPr>
      <w:r>
        <w:rPr>
          <w:rFonts w:hint="eastAsia"/>
          <w:b/>
          <w:bCs/>
          <w:color w:val="auto"/>
          <w:sz w:val="21"/>
          <w:lang w:val="en-US" w:eastAsia="zh-CN"/>
        </w:rPr>
        <w:t>15.4</w:t>
      </w:r>
      <w:r>
        <w:rPr>
          <w:b/>
          <w:bCs/>
          <w:color w:val="auto"/>
          <w:sz w:val="21"/>
        </w:rPr>
        <w:t>变更的估价原则</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将本款第15.4.1～15.4.5项删除，并用以下内容代替：</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因变更引起的价格调整，应按以下优先顺序所列原则进行处理：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15.4.1</w:t>
      </w:r>
      <w:r>
        <w:rPr>
          <w:color w:val="auto"/>
          <w:sz w:val="21"/>
        </w:rPr>
        <w:t>如果</w:t>
      </w:r>
      <w:r>
        <w:rPr>
          <w:rFonts w:hint="eastAsia"/>
          <w:color w:val="auto"/>
          <w:sz w:val="21"/>
          <w:lang w:eastAsia="zh-CN"/>
        </w:rPr>
        <w:t>取消</w:t>
      </w:r>
      <w:r>
        <w:rPr>
          <w:color w:val="auto"/>
          <w:sz w:val="21"/>
        </w:rPr>
        <w:t>某项工作，则该项工作的总额价不予支付；</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15.4.2</w:t>
      </w:r>
      <w:r>
        <w:rPr>
          <w:color w:val="auto"/>
          <w:sz w:val="21"/>
        </w:rPr>
        <w:t>本合同段工程量清单中有相同或相似工程细目单价的，经发包人同意可直接套用该单价。本合同段内没有相同或适用合同单价的，原则上应套用项目全线（如项目采用分段管理，则按项目段计列）合同段相应单价的平均值；</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15.4.3</w:t>
      </w:r>
      <w:r>
        <w:rPr>
          <w:color w:val="auto"/>
          <w:sz w:val="21"/>
        </w:rPr>
        <w:t>以综合单价报价的计量项目，如果只是由于使用材料或局部尺寸调整，则原支付单价不变，而只在原合同单价基础上，调整相应的材料价差和合理的工效增减费用。</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15.4.4</w:t>
      </w:r>
      <w:r>
        <w:rPr>
          <w:color w:val="auto"/>
          <w:sz w:val="21"/>
        </w:rPr>
        <w:t>如果投标文件报价中没有相应综合单价的，则参照最高投标限价编制时选用的有关定额及补充的定额，人工、材料、机械单价按最高投标限价采用月份（XX年XX月），广东省交通运输工程造价事务中心发布的“广东省交通建设工程主要外购材料信息价、主要地方材料信息价（工程所在地）、常用地方材料信息价（工程所在地）”中的项目施工所在地区材料信息价编制预算（如无相应信息价，由发包人另行确定），并按本合同段投标人中标价较招标时最高投标限价之下浮比例下浮确定。变更预算以发包人按相关程序确认的为准。</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rFonts w:hint="eastAsia"/>
          <w:color w:val="auto"/>
          <w:sz w:val="21"/>
          <w:lang w:val="en-US" w:eastAsia="zh-CN"/>
        </w:rPr>
        <w:t>15.4.5</w:t>
      </w:r>
      <w:r>
        <w:rPr>
          <w:color w:val="auto"/>
          <w:sz w:val="21"/>
        </w:rPr>
        <w:t>如果双方对变更工程价款有争议，则请政府主管部门或发包人和承包人双方认可的机构按15.4.4款要求编制预算，由发包人委托，委托费用由发包人和承包人各负责一半，变更工程造价或单价按本合同段投标人中标价较招标时最高投标限价之下浮比例下浮确定。</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发包人与承包人如按上述原则协商未果，发包人有权根据实际情况按上述某一原则进行处理，承包人必须无条件接受。</w:t>
      </w:r>
    </w:p>
    <w:p>
      <w:pPr>
        <w:pStyle w:val="31"/>
        <w:numPr>
          <w:ilvl w:val="0"/>
          <w:numId w:val="0"/>
        </w:numPr>
        <w:tabs>
          <w:tab w:val="left" w:pos="1313"/>
          <w:tab w:val="left" w:pos="6656"/>
          <w:tab w:val="left" w:pos="9680"/>
        </w:tabs>
        <w:spacing w:line="364" w:lineRule="auto"/>
        <w:ind w:right="-37" w:rightChars="0" w:firstLine="420" w:firstLineChars="200"/>
        <w:rPr>
          <w:color w:val="auto"/>
          <w:sz w:val="21"/>
        </w:rPr>
      </w:pPr>
      <w:r>
        <w:rPr>
          <w:color w:val="auto"/>
          <w:sz w:val="21"/>
        </w:rPr>
        <w:t>所有的变更设计都必须按发包人及其上级主管部门颁布的变更设计管理办法进行审批。</w:t>
      </w:r>
    </w:p>
    <w:p>
      <w:pPr>
        <w:pStyle w:val="31"/>
        <w:numPr>
          <w:ilvl w:val="0"/>
          <w:numId w:val="0"/>
        </w:numPr>
        <w:tabs>
          <w:tab w:val="left" w:pos="1313"/>
          <w:tab w:val="left" w:pos="6656"/>
          <w:tab w:val="left" w:pos="9680"/>
        </w:tabs>
        <w:spacing w:line="364" w:lineRule="auto"/>
        <w:ind w:right="-37" w:rightChars="0"/>
        <w:rPr>
          <w:b/>
          <w:bCs/>
          <w:color w:val="auto"/>
          <w:sz w:val="24"/>
          <w:szCs w:val="28"/>
        </w:rPr>
      </w:pPr>
      <w:r>
        <w:rPr>
          <w:rFonts w:hint="eastAsia"/>
          <w:b/>
          <w:bCs/>
          <w:color w:val="auto"/>
          <w:sz w:val="24"/>
          <w:szCs w:val="28"/>
          <w:lang w:val="en-US" w:eastAsia="zh-CN"/>
        </w:rPr>
        <w:t>16、</w:t>
      </w:r>
      <w:r>
        <w:rPr>
          <w:b/>
          <w:bCs/>
          <w:color w:val="auto"/>
          <w:sz w:val="24"/>
          <w:szCs w:val="28"/>
        </w:rPr>
        <w:t>价格调整</w:t>
      </w:r>
    </w:p>
    <w:p>
      <w:pPr>
        <w:pStyle w:val="31"/>
        <w:numPr>
          <w:ilvl w:val="0"/>
          <w:numId w:val="0"/>
        </w:numPr>
        <w:tabs>
          <w:tab w:val="left" w:pos="1313"/>
          <w:tab w:val="left" w:pos="6656"/>
          <w:tab w:val="left" w:pos="9680"/>
        </w:tabs>
        <w:spacing w:line="364" w:lineRule="auto"/>
        <w:ind w:right="-37" w:rightChars="0" w:firstLine="422" w:firstLineChars="200"/>
        <w:rPr>
          <w:rFonts w:hint="eastAsia"/>
          <w:b/>
          <w:bCs/>
          <w:color w:val="auto"/>
          <w:sz w:val="21"/>
          <w:lang w:eastAsia="zh-CN"/>
        </w:rPr>
      </w:pPr>
      <w:r>
        <w:rPr>
          <w:rFonts w:hint="eastAsia"/>
          <w:b/>
          <w:bCs/>
          <w:color w:val="auto"/>
          <w:sz w:val="21"/>
          <w:lang w:val="en-US" w:eastAsia="zh-CN"/>
        </w:rPr>
        <w:t>16.1</w:t>
      </w:r>
      <w:r>
        <w:rPr>
          <w:rFonts w:hint="eastAsia"/>
          <w:b/>
          <w:bCs/>
          <w:color w:val="auto"/>
          <w:sz w:val="21"/>
          <w:lang w:eastAsia="zh-CN"/>
        </w:rPr>
        <w:t>物价波动引起的价格调整</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val="en-US" w:eastAsia="zh-CN"/>
        </w:rPr>
        <w:t>16.1.2</w:t>
      </w:r>
      <w:r>
        <w:rPr>
          <w:rFonts w:hint="eastAsia"/>
          <w:color w:val="auto"/>
          <w:sz w:val="21"/>
          <w:lang w:eastAsia="zh-CN"/>
        </w:rPr>
        <w:t>采用造价信息调整价格差额</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将本款内容修改如下：</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施工期间材料价格、人和机械费用不作调整（除政策性外）</w:t>
      </w:r>
    </w:p>
    <w:p>
      <w:pPr>
        <w:pStyle w:val="31"/>
        <w:numPr>
          <w:ilvl w:val="0"/>
          <w:numId w:val="0"/>
        </w:numPr>
        <w:tabs>
          <w:tab w:val="left" w:pos="1313"/>
          <w:tab w:val="left" w:pos="6656"/>
          <w:tab w:val="left" w:pos="9680"/>
        </w:tabs>
        <w:spacing w:line="364" w:lineRule="auto"/>
        <w:ind w:right="-37" w:rightChars="0" w:firstLine="422" w:firstLineChars="200"/>
        <w:rPr>
          <w:rFonts w:hint="eastAsia"/>
          <w:b/>
          <w:bCs/>
          <w:color w:val="auto"/>
          <w:sz w:val="21"/>
          <w:lang w:eastAsia="zh-CN"/>
        </w:rPr>
      </w:pPr>
      <w:r>
        <w:rPr>
          <w:rFonts w:hint="eastAsia"/>
          <w:b/>
          <w:bCs/>
          <w:color w:val="auto"/>
          <w:sz w:val="21"/>
          <w:lang w:val="en-US" w:eastAsia="zh-CN"/>
        </w:rPr>
        <w:t>16.2</w:t>
      </w:r>
      <w:r>
        <w:rPr>
          <w:rFonts w:hint="eastAsia"/>
          <w:b/>
          <w:bCs/>
          <w:color w:val="auto"/>
          <w:sz w:val="21"/>
          <w:lang w:eastAsia="zh-CN"/>
        </w:rPr>
        <w:t>法律变化引起的价格调整</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将本款内容修改如下：</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1）除非本合同专用条款另有规定，如果在送交投标文件截止日28天之后，国家或省颁布的法律、法规出现修改或变更，因采用上述法律、法规使承包人在履行合同中的费用发生第16.1款规定的价格调整以外的增加或减少，则此项增加或减少的费用应由监理人在与承包人协商并报经发包人批准后确定，增加到合同价格上或从合同价格中扣除，监理人应通知承包人，并抄送发包人。</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2）在工程实施过程中，所引用的国家标准和规范如果有修改或新颁，应由发包人决定是否用新标准或新规范，承包人应在监理人的监督下按发包人的决定执行。采用新标准、新规范（相对于本招标文件）所增加的相应部分费用由发包人承担。</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增加第16.3款～第16.4款</w:t>
      </w:r>
    </w:p>
    <w:p>
      <w:pPr>
        <w:pStyle w:val="31"/>
        <w:numPr>
          <w:ilvl w:val="0"/>
          <w:numId w:val="0"/>
        </w:numPr>
        <w:tabs>
          <w:tab w:val="left" w:pos="1313"/>
          <w:tab w:val="left" w:pos="6656"/>
          <w:tab w:val="left" w:pos="9680"/>
        </w:tabs>
        <w:spacing w:line="364" w:lineRule="auto"/>
        <w:ind w:right="-37" w:rightChars="0" w:firstLine="422" w:firstLineChars="200"/>
        <w:rPr>
          <w:rFonts w:hint="eastAsia"/>
          <w:b/>
          <w:bCs/>
          <w:color w:val="auto"/>
          <w:sz w:val="21"/>
          <w:lang w:eastAsia="zh-CN"/>
        </w:rPr>
      </w:pPr>
      <w:r>
        <w:rPr>
          <w:rFonts w:hint="eastAsia"/>
          <w:b/>
          <w:bCs/>
          <w:color w:val="auto"/>
          <w:sz w:val="21"/>
          <w:lang w:val="en-US" w:eastAsia="zh-CN"/>
        </w:rPr>
        <w:t>16.3</w:t>
      </w:r>
      <w:r>
        <w:rPr>
          <w:rFonts w:hint="eastAsia"/>
          <w:b/>
          <w:bCs/>
          <w:color w:val="auto"/>
          <w:sz w:val="21"/>
          <w:lang w:eastAsia="zh-CN"/>
        </w:rPr>
        <w:t>执行国家和行业标准</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除非发包人和监理人专门批准，如果本工程技术规范和图纸标准低于国家和行业标准，则应按国家和行业标准执行，承包人不能因此提出增加费用的要求和索赔。</w:t>
      </w:r>
    </w:p>
    <w:p>
      <w:pPr>
        <w:pStyle w:val="31"/>
        <w:numPr>
          <w:ilvl w:val="0"/>
          <w:numId w:val="0"/>
        </w:numPr>
        <w:tabs>
          <w:tab w:val="left" w:pos="1313"/>
          <w:tab w:val="left" w:pos="6656"/>
          <w:tab w:val="left" w:pos="9680"/>
        </w:tabs>
        <w:spacing w:line="364" w:lineRule="auto"/>
        <w:ind w:right="-37" w:rightChars="0" w:firstLine="422" w:firstLineChars="200"/>
        <w:rPr>
          <w:rFonts w:hint="eastAsia"/>
          <w:b/>
          <w:bCs/>
          <w:color w:val="auto"/>
          <w:sz w:val="21"/>
          <w:lang w:eastAsia="zh-CN"/>
        </w:rPr>
      </w:pPr>
      <w:r>
        <w:rPr>
          <w:rFonts w:hint="eastAsia"/>
          <w:b/>
          <w:bCs/>
          <w:color w:val="auto"/>
          <w:sz w:val="21"/>
          <w:lang w:val="en-US" w:eastAsia="zh-CN"/>
        </w:rPr>
        <w:t>16.4</w:t>
      </w:r>
      <w:r>
        <w:rPr>
          <w:rFonts w:hint="eastAsia"/>
          <w:b/>
          <w:bCs/>
          <w:color w:val="auto"/>
          <w:sz w:val="21"/>
          <w:lang w:eastAsia="zh-CN"/>
        </w:rPr>
        <w:t>工期拖期的价格调整</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lang w:eastAsia="zh-CN"/>
        </w:rPr>
      </w:pPr>
      <w:r>
        <w:rPr>
          <w:rFonts w:hint="eastAsia"/>
          <w:color w:val="auto"/>
          <w:sz w:val="21"/>
          <w:lang w:eastAsia="zh-CN"/>
        </w:rPr>
        <w:t>如果承包人原因未能在投标书附录中写明的工期内完成本合同工程，则在该交工日期以后施工的工程，承包人不能因此提出调整合同单价要求。即使某种延期符合第11.4条及本合同条款相关规定，在该延长的交工日期到期以后施工的工程，承包人也不能因此提出调整合同单价要求。</w:t>
      </w:r>
    </w:p>
    <w:p>
      <w:pPr>
        <w:pStyle w:val="31"/>
        <w:numPr>
          <w:ilvl w:val="0"/>
          <w:numId w:val="0"/>
        </w:numPr>
        <w:tabs>
          <w:tab w:val="left" w:pos="1313"/>
          <w:tab w:val="left" w:pos="6656"/>
          <w:tab w:val="left" w:pos="9680"/>
        </w:tabs>
        <w:spacing w:line="364" w:lineRule="auto"/>
        <w:ind w:right="-37" w:rightChars="0"/>
        <w:rPr>
          <w:rFonts w:hint="eastAsia"/>
          <w:b/>
          <w:bCs/>
          <w:color w:val="auto"/>
          <w:sz w:val="24"/>
          <w:szCs w:val="28"/>
          <w:highlight w:val="none"/>
          <w:lang w:eastAsia="zh-CN"/>
        </w:rPr>
      </w:pPr>
      <w:r>
        <w:rPr>
          <w:rFonts w:hint="eastAsia"/>
          <w:b/>
          <w:bCs/>
          <w:color w:val="auto"/>
          <w:sz w:val="24"/>
          <w:szCs w:val="28"/>
          <w:highlight w:val="none"/>
          <w:lang w:val="en-US" w:eastAsia="zh-CN"/>
        </w:rPr>
        <w:t>17、</w:t>
      </w:r>
      <w:r>
        <w:rPr>
          <w:rFonts w:hint="eastAsia"/>
          <w:b/>
          <w:bCs/>
          <w:color w:val="auto"/>
          <w:sz w:val="24"/>
          <w:szCs w:val="28"/>
          <w:highlight w:val="none"/>
          <w:lang w:eastAsia="zh-CN"/>
        </w:rPr>
        <w:t>计量与支付</w:t>
      </w:r>
    </w:p>
    <w:p>
      <w:pPr>
        <w:pStyle w:val="31"/>
        <w:numPr>
          <w:ilvl w:val="0"/>
          <w:numId w:val="0"/>
        </w:numPr>
        <w:tabs>
          <w:tab w:val="left" w:pos="1313"/>
          <w:tab w:val="left" w:pos="6656"/>
          <w:tab w:val="left" w:pos="9680"/>
        </w:tabs>
        <w:spacing w:line="364" w:lineRule="auto"/>
        <w:ind w:right="-37" w:rightChars="0" w:firstLine="422" w:firstLineChars="200"/>
        <w:rPr>
          <w:rFonts w:hint="eastAsia"/>
          <w:b/>
          <w:bCs/>
          <w:color w:val="auto"/>
          <w:sz w:val="21"/>
          <w:highlight w:val="none"/>
          <w:lang w:eastAsia="zh-CN"/>
        </w:rPr>
      </w:pPr>
      <w:r>
        <w:rPr>
          <w:rFonts w:hint="eastAsia"/>
          <w:b/>
          <w:bCs/>
          <w:color w:val="auto"/>
          <w:sz w:val="21"/>
          <w:highlight w:val="none"/>
          <w:lang w:val="en-US" w:eastAsia="zh-CN"/>
        </w:rPr>
        <w:t>17.1</w:t>
      </w:r>
      <w:r>
        <w:rPr>
          <w:rFonts w:hint="eastAsia"/>
          <w:b/>
          <w:bCs/>
          <w:color w:val="auto"/>
          <w:sz w:val="21"/>
          <w:highlight w:val="none"/>
          <w:lang w:eastAsia="zh-CN"/>
        </w:rPr>
        <w:t>计量</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ascii="宋体" w:hAnsi="宋体" w:eastAsia="宋体" w:cs="宋体"/>
          <w:color w:val="auto"/>
          <w:sz w:val="21"/>
          <w:szCs w:val="22"/>
          <w:lang w:val="zh-CN" w:eastAsia="zh-CN" w:bidi="zh-CN"/>
        </w:rPr>
        <w:t>本款补充第17.1.6项：工程进度计量</w:t>
      </w:r>
      <w:r>
        <w:rPr>
          <w:rFonts w:hint="eastAsia" w:cs="宋体"/>
          <w:color w:val="auto"/>
          <w:sz w:val="21"/>
          <w:szCs w:val="22"/>
          <w:lang w:val="zh-CN" w:eastAsia="zh-CN" w:bidi="zh-CN"/>
        </w:rPr>
        <w:t>与</w:t>
      </w:r>
      <w:r>
        <w:rPr>
          <w:rFonts w:hint="eastAsia" w:ascii="宋体" w:hAnsi="宋体" w:eastAsia="宋体" w:cs="宋体"/>
          <w:color w:val="auto"/>
          <w:sz w:val="21"/>
          <w:szCs w:val="22"/>
          <w:lang w:val="zh-CN" w:eastAsia="zh-CN" w:bidi="zh-CN"/>
        </w:rPr>
        <w:t>支付</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ascii="宋体" w:hAnsi="宋体" w:eastAsia="宋体" w:cs="宋体"/>
          <w:color w:val="auto"/>
          <w:sz w:val="21"/>
          <w:szCs w:val="22"/>
          <w:lang w:val="zh-CN" w:eastAsia="zh-CN" w:bidi="zh-CN"/>
        </w:rPr>
        <w:t>(1)进度款申请：发包人按工程量完成进度支付进度款，按约定分期扣回工程预付款。</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ascii="宋体" w:hAnsi="宋体" w:eastAsia="宋体" w:cs="宋体"/>
          <w:color w:val="auto"/>
          <w:sz w:val="21"/>
          <w:szCs w:val="22"/>
          <w:lang w:val="zh-CN" w:eastAsia="zh-CN" w:bidi="zh-CN"/>
        </w:rPr>
        <w:t>(2)工程交工验收前，支付到工程造价的90%时停止支付。</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lang w:val="zh-CN" w:eastAsia="zh-CN"/>
        </w:rPr>
      </w:pPr>
      <w:r>
        <w:rPr>
          <w:rFonts w:hint="eastAsia" w:ascii="宋体" w:hAnsi="宋体" w:eastAsia="宋体" w:cs="宋体"/>
          <w:color w:val="auto"/>
          <w:sz w:val="21"/>
          <w:szCs w:val="22"/>
          <w:lang w:val="zh-CN" w:eastAsia="zh-CN" w:bidi="zh-CN"/>
        </w:rPr>
        <w:t>(</w:t>
      </w:r>
      <w:r>
        <w:rPr>
          <w:rFonts w:hint="eastAsia" w:ascii="宋体" w:hAnsi="宋体" w:eastAsia="宋体" w:cs="宋体"/>
          <w:color w:val="auto"/>
          <w:sz w:val="21"/>
          <w:szCs w:val="22"/>
          <w:lang w:val="en-US" w:eastAsia="zh-CN" w:bidi="zh-CN"/>
        </w:rPr>
        <w:t>3</w:t>
      </w:r>
      <w:r>
        <w:rPr>
          <w:rFonts w:hint="eastAsia" w:ascii="宋体" w:hAnsi="宋体" w:eastAsia="宋体" w:cs="宋体"/>
          <w:color w:val="auto"/>
          <w:sz w:val="21"/>
          <w:szCs w:val="22"/>
          <w:lang w:val="zh-CN" w:eastAsia="zh-CN" w:bidi="zh-CN"/>
        </w:rPr>
        <w:t>)工程交工验收合格后，按招标人或陆丰市财政局的规定进行结算，发包人向承包人支付的结算工程款总额达到9</w:t>
      </w:r>
      <w:r>
        <w:rPr>
          <w:rFonts w:hint="eastAsia" w:ascii="宋体" w:hAnsi="宋体" w:eastAsia="宋体" w:cs="宋体"/>
          <w:color w:val="auto"/>
          <w:sz w:val="21"/>
          <w:szCs w:val="22"/>
          <w:lang w:val="en-US" w:eastAsia="zh-CN" w:bidi="zh-CN"/>
        </w:rPr>
        <w:t>7</w:t>
      </w:r>
      <w:r>
        <w:rPr>
          <w:rFonts w:hint="eastAsia" w:ascii="宋体" w:hAnsi="宋体" w:eastAsia="宋体" w:cs="宋体"/>
          <w:color w:val="auto"/>
          <w:sz w:val="21"/>
          <w:szCs w:val="22"/>
          <w:lang w:val="zh-CN" w:eastAsia="zh-CN" w:bidi="zh-CN"/>
        </w:rPr>
        <w:t>%，余款</w:t>
      </w:r>
      <w:r>
        <w:rPr>
          <w:rFonts w:hint="eastAsia" w:ascii="宋体" w:hAnsi="宋体" w:eastAsia="宋体" w:cs="宋体"/>
          <w:color w:val="auto"/>
          <w:sz w:val="21"/>
          <w:szCs w:val="22"/>
          <w:lang w:val="en-US" w:eastAsia="zh-CN" w:bidi="zh-CN"/>
        </w:rPr>
        <w:t>3</w:t>
      </w:r>
      <w:r>
        <w:rPr>
          <w:rFonts w:hint="eastAsia" w:ascii="宋体" w:hAnsi="宋体" w:eastAsia="宋体" w:cs="宋体"/>
          <w:color w:val="auto"/>
          <w:sz w:val="21"/>
          <w:szCs w:val="22"/>
          <w:lang w:val="zh-CN" w:eastAsia="zh-CN" w:bidi="zh-CN"/>
        </w:rPr>
        <w:t>%作为</w:t>
      </w:r>
      <w:r>
        <w:rPr>
          <w:rFonts w:hint="eastAsia" w:ascii="宋体" w:hAnsi="宋体" w:eastAsia="宋体" w:cs="宋体"/>
          <w:color w:val="auto"/>
          <w:sz w:val="21"/>
          <w:szCs w:val="22"/>
          <w:lang w:val="en-US" w:eastAsia="zh-CN" w:bidi="zh-CN"/>
        </w:rPr>
        <w:t>质保金</w:t>
      </w:r>
      <w:r>
        <w:rPr>
          <w:rFonts w:hint="eastAsia" w:ascii="宋体" w:hAnsi="宋体" w:eastAsia="宋体" w:cs="宋体"/>
          <w:color w:val="auto"/>
          <w:sz w:val="21"/>
          <w:szCs w:val="22"/>
          <w:lang w:val="zh-CN" w:eastAsia="zh-CN" w:bidi="zh-CN"/>
        </w:rPr>
        <w:t>。（若</w:t>
      </w:r>
      <w:r>
        <w:rPr>
          <w:rFonts w:hint="eastAsia" w:cs="宋体"/>
          <w:color w:val="auto"/>
          <w:sz w:val="21"/>
          <w:szCs w:val="22"/>
          <w:lang w:val="zh-CN" w:eastAsia="zh-CN" w:bidi="zh-CN"/>
        </w:rPr>
        <w:t>施工单位</w:t>
      </w:r>
      <w:r>
        <w:rPr>
          <w:rFonts w:hint="eastAsia" w:ascii="宋体" w:hAnsi="宋体" w:eastAsia="宋体" w:cs="宋体"/>
          <w:color w:val="auto"/>
          <w:sz w:val="21"/>
          <w:szCs w:val="22"/>
          <w:lang w:val="zh-CN" w:eastAsia="zh-CN" w:bidi="zh-CN"/>
        </w:rPr>
        <w:t>提供质量保证金银行保函、质量保证金担保公司保函或保证保险的，则不扣除质量保证金，质量保证金同工程结算款一并支付给</w:t>
      </w:r>
      <w:r>
        <w:rPr>
          <w:rFonts w:hint="eastAsia" w:cs="宋体"/>
          <w:color w:val="auto"/>
          <w:sz w:val="21"/>
          <w:szCs w:val="22"/>
          <w:lang w:val="zh-CN" w:eastAsia="zh-CN" w:bidi="zh-CN"/>
        </w:rPr>
        <w:t>施工单位</w:t>
      </w:r>
      <w:r>
        <w:rPr>
          <w:rFonts w:hint="eastAsia" w:ascii="宋体" w:hAnsi="宋体" w:eastAsia="宋体" w:cs="宋体"/>
          <w:color w:val="auto"/>
          <w:sz w:val="21"/>
          <w:szCs w:val="22"/>
          <w:lang w:val="zh-CN" w:eastAsia="zh-CN" w:bidi="zh-CN"/>
        </w:rPr>
        <w:t>）</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cs="宋体"/>
          <w:color w:val="auto"/>
          <w:sz w:val="21"/>
          <w:szCs w:val="22"/>
          <w:lang w:val="en-US" w:eastAsia="zh-CN" w:bidi="zh-CN"/>
        </w:rPr>
        <w:t>17.1.5</w:t>
      </w:r>
      <w:r>
        <w:rPr>
          <w:rFonts w:hint="eastAsia" w:ascii="宋体" w:hAnsi="宋体" w:eastAsia="宋体" w:cs="宋体"/>
          <w:color w:val="auto"/>
          <w:sz w:val="21"/>
          <w:szCs w:val="22"/>
          <w:lang w:val="zh-CN" w:eastAsia="zh-CN" w:bidi="zh-CN"/>
        </w:rPr>
        <w:t>总价子目的计量</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ascii="宋体" w:hAnsi="宋体" w:eastAsia="宋体" w:cs="宋体"/>
          <w:color w:val="auto"/>
          <w:sz w:val="21"/>
          <w:szCs w:val="22"/>
          <w:lang w:val="zh-CN" w:eastAsia="zh-CN" w:bidi="zh-CN"/>
        </w:rPr>
        <w:t>本项目工程量清单中要求承包人以“总额”方式报价的子目，各子目的支付原则和支付进度按本合同文件工程量清单计量规则中的规定执行。</w:t>
      </w:r>
    </w:p>
    <w:p>
      <w:pPr>
        <w:pStyle w:val="31"/>
        <w:numPr>
          <w:ilvl w:val="0"/>
          <w:numId w:val="0"/>
        </w:numPr>
        <w:tabs>
          <w:tab w:val="left" w:pos="1313"/>
          <w:tab w:val="left" w:pos="6656"/>
          <w:tab w:val="left" w:pos="9680"/>
        </w:tabs>
        <w:spacing w:line="364" w:lineRule="auto"/>
        <w:ind w:right="-37" w:rightChars="0" w:firstLine="422" w:firstLineChars="200"/>
        <w:rPr>
          <w:rFonts w:hint="eastAsia" w:ascii="宋体" w:hAnsi="宋体" w:eastAsia="宋体" w:cs="宋体"/>
          <w:b/>
          <w:bCs/>
          <w:color w:val="auto"/>
          <w:sz w:val="21"/>
          <w:szCs w:val="22"/>
          <w:highlight w:val="none"/>
          <w:lang w:val="zh-CN" w:eastAsia="zh-CN" w:bidi="zh-CN"/>
        </w:rPr>
      </w:pPr>
      <w:r>
        <w:rPr>
          <w:rFonts w:hint="eastAsia" w:ascii="宋体" w:hAnsi="宋体" w:eastAsia="宋体" w:cs="宋体"/>
          <w:b/>
          <w:bCs/>
          <w:color w:val="auto"/>
          <w:sz w:val="21"/>
          <w:szCs w:val="22"/>
          <w:highlight w:val="none"/>
          <w:lang w:val="zh-CN" w:eastAsia="zh-CN" w:bidi="zh-CN"/>
        </w:rPr>
        <w:t>17.2预付款</w:t>
      </w:r>
    </w:p>
    <w:p>
      <w:pPr>
        <w:pStyle w:val="31"/>
        <w:numPr>
          <w:ilvl w:val="0"/>
          <w:numId w:val="0"/>
        </w:numPr>
        <w:tabs>
          <w:tab w:val="left" w:pos="1313"/>
          <w:tab w:val="left" w:pos="6656"/>
          <w:tab w:val="left" w:pos="9680"/>
        </w:tabs>
        <w:spacing w:line="364" w:lineRule="auto"/>
        <w:ind w:right="-37" w:rightChars="0" w:firstLine="420" w:firstLineChars="200"/>
        <w:rPr>
          <w:rFonts w:hint="default" w:ascii="宋体" w:hAnsi="宋体" w:eastAsia="宋体" w:cs="宋体"/>
          <w:color w:val="auto"/>
          <w:sz w:val="21"/>
          <w:szCs w:val="22"/>
          <w:lang w:val="en-US" w:eastAsia="zh-CN" w:bidi="zh-CN"/>
        </w:rPr>
      </w:pPr>
      <w:r>
        <w:rPr>
          <w:rFonts w:hint="eastAsia" w:ascii="宋体" w:hAnsi="宋体" w:eastAsia="宋体" w:cs="宋体"/>
          <w:color w:val="auto"/>
          <w:sz w:val="21"/>
          <w:szCs w:val="22"/>
          <w:lang w:val="en-US" w:eastAsia="zh-CN" w:bidi="zh-CN"/>
        </w:rPr>
        <w:t>17.2.1预付款的支付：签订施工合同后，7天内支付给施工单位30%的工程预付款，支付比例为合同价的30%。</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szCs w:val="22"/>
          <w:lang w:val="zh-CN" w:eastAsia="zh-CN" w:bidi="zh-CN"/>
        </w:rPr>
      </w:pPr>
      <w:r>
        <w:rPr>
          <w:rFonts w:hint="eastAsia" w:ascii="宋体" w:hAnsi="宋体" w:eastAsia="宋体" w:cs="宋体"/>
          <w:color w:val="auto"/>
          <w:sz w:val="21"/>
          <w:szCs w:val="22"/>
          <w:lang w:val="zh-CN" w:eastAsia="zh-CN" w:bidi="zh-CN"/>
        </w:rPr>
        <w:t>17.2.3预付款的扣回与还清</w:t>
      </w:r>
    </w:p>
    <w:p>
      <w:pPr>
        <w:pStyle w:val="31"/>
        <w:numPr>
          <w:ilvl w:val="0"/>
          <w:numId w:val="0"/>
        </w:numPr>
        <w:tabs>
          <w:tab w:val="left" w:pos="1313"/>
          <w:tab w:val="left" w:pos="6656"/>
          <w:tab w:val="left" w:pos="9680"/>
        </w:tabs>
        <w:spacing w:line="364" w:lineRule="auto"/>
        <w:ind w:right="-37" w:rightChars="0" w:firstLine="420" w:firstLineChars="200"/>
        <w:rPr>
          <w:rFonts w:hint="eastAsia"/>
          <w:color w:val="auto"/>
          <w:sz w:val="21"/>
          <w:highlight w:val="none"/>
          <w:lang w:eastAsia="zh-CN"/>
        </w:rPr>
      </w:pPr>
      <w:r>
        <w:rPr>
          <w:rFonts w:hint="eastAsia" w:ascii="宋体" w:hAnsi="宋体" w:eastAsia="宋体" w:cs="宋体"/>
          <w:color w:val="auto"/>
          <w:sz w:val="21"/>
          <w:szCs w:val="22"/>
          <w:lang w:val="zh-CN" w:eastAsia="zh-CN" w:bidi="zh-CN"/>
        </w:rPr>
        <w:t>本款补充第(3)目如下：开工预付款在进度付款证书的累计金额未达到签约合同价的30％之前不予扣回，在达到签约合同价30％之后，开始按工程进度以固定比例（即每完成签约合同价的1％，扣回开工预付款的2％）分期从各月的进度付款证书中扣回，全部金额在进度付款证书的累计金额达到签约合同价的80％时扣完。</w:t>
      </w:r>
    </w:p>
    <w:p>
      <w:pPr>
        <w:pStyle w:val="11"/>
        <w:numPr>
          <w:ilvl w:val="0"/>
          <w:numId w:val="0"/>
        </w:numPr>
        <w:tabs>
          <w:tab w:val="left" w:pos="1705"/>
        </w:tabs>
        <w:spacing w:before="153" w:line="360" w:lineRule="auto"/>
        <w:ind w:firstLine="458" w:firstLineChars="200"/>
        <w:rPr>
          <w:color w:val="auto"/>
          <w:highlight w:val="none"/>
        </w:rPr>
      </w:pPr>
      <w:r>
        <w:rPr>
          <w:rFonts w:hint="eastAsia"/>
          <w:color w:val="auto"/>
          <w:spacing w:val="9"/>
          <w:highlight w:val="none"/>
          <w:lang w:val="en-US" w:eastAsia="zh-CN"/>
        </w:rPr>
        <w:t>17.3.5</w:t>
      </w:r>
      <w:r>
        <w:rPr>
          <w:color w:val="auto"/>
          <w:spacing w:val="9"/>
          <w:highlight w:val="none"/>
        </w:rPr>
        <w:t>农民工工资保证金</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农民工工资保证金的缴存时间：承包人应在收到中标通知书后且合同签署前按规定向发包人缴纳缴存农民工工资保证金</w:t>
      </w:r>
      <w:r>
        <w:rPr>
          <w:rFonts w:hint="eastAsia" w:cs="宋体"/>
          <w:color w:val="auto"/>
          <w:sz w:val="21"/>
          <w:highlight w:val="none"/>
          <w:lang w:eastAsia="zh-CN"/>
        </w:rPr>
        <w:t>或委托保险公司或担保公司开具农民工保证金担保保函</w:t>
      </w:r>
      <w:r>
        <w:rPr>
          <w:rFonts w:ascii="宋体" w:hAnsi="宋体" w:eastAsia="宋体" w:cs="宋体"/>
          <w:color w:val="auto"/>
          <w:sz w:val="21"/>
          <w:highlight w:val="none"/>
        </w:rPr>
        <w:t>。</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农民工工资保证金的缴存方式：可采用保函形式</w:t>
      </w:r>
      <w:r>
        <w:rPr>
          <w:rFonts w:hint="eastAsia" w:cs="宋体"/>
          <w:color w:val="auto"/>
          <w:sz w:val="21"/>
          <w:highlight w:val="none"/>
          <w:lang w:eastAsia="zh-CN"/>
        </w:rPr>
        <w:t>（</w:t>
      </w:r>
      <w:r>
        <w:rPr>
          <w:rFonts w:hint="eastAsia" w:cs="宋体"/>
          <w:color w:val="auto"/>
          <w:sz w:val="21"/>
          <w:highlight w:val="none"/>
          <w:lang w:val="en-US" w:eastAsia="zh-CN"/>
        </w:rPr>
        <w:t>保函可采用：银行、担保公司或保险公司开具的</w:t>
      </w:r>
      <w:r>
        <w:rPr>
          <w:rFonts w:hint="eastAsia" w:cs="宋体"/>
          <w:color w:val="auto"/>
          <w:sz w:val="21"/>
          <w:highlight w:val="none"/>
          <w:lang w:eastAsia="zh-CN"/>
        </w:rPr>
        <w:t>）</w:t>
      </w:r>
      <w:r>
        <w:rPr>
          <w:rFonts w:ascii="宋体" w:hAnsi="宋体" w:eastAsia="宋体" w:cs="宋体"/>
          <w:color w:val="auto"/>
          <w:sz w:val="21"/>
          <w:highlight w:val="none"/>
        </w:rPr>
        <w:t>。</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ascii="宋体" w:hAnsi="宋体" w:eastAsia="宋体" w:cs="宋体"/>
          <w:color w:val="auto"/>
          <w:sz w:val="21"/>
        </w:rPr>
        <w:t>农民工工资保证金的缴存金额：建设工程农民工工资支付保证书中规定的金额。</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ascii="宋体" w:hAnsi="宋体" w:eastAsia="宋体" w:cs="宋体"/>
          <w:color w:val="auto"/>
          <w:sz w:val="21"/>
        </w:rPr>
        <w:t>农民工工资保证金的扣留条件：若承包人拖欠民工工资，发包人有权利直接从承包人按规定缴纳的工资保证金中扣除相应费用后向民工进行支付。</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rPr>
        <w:t>农民工工资保证金的返还时间：满足建设工程农民工工资支付保证书的规定，在项目交工验收合格，</w:t>
      </w:r>
      <w:r>
        <w:rPr>
          <w:rFonts w:ascii="宋体" w:hAnsi="宋体" w:eastAsia="宋体" w:cs="宋体"/>
          <w:color w:val="auto"/>
          <w:sz w:val="21"/>
          <w:highlight w:val="none"/>
        </w:rPr>
        <w:t>工程结算完成未拖欠农民工工资时，由发包人一次性退还给承包人。</w:t>
      </w:r>
    </w:p>
    <w:p>
      <w:pPr>
        <w:pStyle w:val="31"/>
        <w:numPr>
          <w:ilvl w:val="0"/>
          <w:numId w:val="0"/>
        </w:numPr>
        <w:tabs>
          <w:tab w:val="left" w:pos="1313"/>
          <w:tab w:val="left" w:pos="6656"/>
          <w:tab w:val="left" w:pos="9680"/>
        </w:tabs>
        <w:spacing w:line="364" w:lineRule="auto"/>
        <w:ind w:right="-37" w:rightChars="0" w:firstLine="422" w:firstLineChars="200"/>
        <w:rPr>
          <w:rFonts w:ascii="宋体" w:hAnsi="宋体" w:eastAsia="宋体" w:cs="宋体"/>
          <w:b/>
          <w:bCs/>
          <w:color w:val="auto"/>
          <w:sz w:val="21"/>
          <w:highlight w:val="none"/>
        </w:rPr>
      </w:pPr>
      <w:r>
        <w:rPr>
          <w:rFonts w:hint="eastAsia" w:ascii="宋体" w:hAnsi="宋体" w:eastAsia="宋体" w:cs="宋体"/>
          <w:b/>
          <w:bCs/>
          <w:color w:val="auto"/>
          <w:sz w:val="21"/>
          <w:highlight w:val="none"/>
          <w:lang w:val="en-US" w:eastAsia="zh-CN"/>
        </w:rPr>
        <w:t>17.4</w:t>
      </w:r>
      <w:r>
        <w:rPr>
          <w:rFonts w:ascii="宋体" w:hAnsi="宋体" w:eastAsia="宋体" w:cs="宋体"/>
          <w:b/>
          <w:bCs/>
          <w:color w:val="auto"/>
          <w:sz w:val="21"/>
          <w:highlight w:val="none"/>
        </w:rPr>
        <w:t>质量保证金</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将本款第17.4.2项修改如下：</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17.4.2缺陷责任期内承包人已按合同约定履行了质量缺陷责任期义务，经验收质量合格后，同时已完成竣工决算审查和审计，根据最终的审查和审计结果进行结算金额调整，计算出应退还的质量保证金的总金额，将应退还的质量保证金的总金额的80%返还给承包人，同时，发包人应严格按照《公路工程竣（交）工验收办法》规定，及时申请竣工验收，通过竣工验收后一个月内，将剩余的20%一次性返还给承包人。质量保证金的退还应符合《广东省交通运输厅印发关于进一步加强公路工程质量保证金管理的若干意见的通知》（粤交基[2016]1072号）的要求。</w:t>
      </w:r>
      <w:r>
        <w:rPr>
          <w:rFonts w:hint="eastAsia" w:ascii="宋体" w:hAnsi="宋体" w:eastAsia="宋体" w:cs="宋体"/>
          <w:color w:val="auto"/>
          <w:sz w:val="21"/>
          <w:highlight w:val="none"/>
          <w:lang w:val="en-US" w:eastAsia="zh-CN"/>
        </w:rPr>
        <w:t>（若提供质量保证金银行保函、质量保证金担保公司保函或保证保险的，则不扣除质量保证金）</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本款补充第17.4.4项：</w:t>
      </w:r>
      <w:r>
        <w:rPr>
          <w:rFonts w:hint="eastAsia" w:ascii="宋体" w:hAnsi="宋体" w:eastAsia="宋体" w:cs="宋体"/>
          <w:color w:val="auto"/>
          <w:sz w:val="21"/>
          <w:highlight w:val="none"/>
        </w:rPr>
        <w:t>达到合格要求</w:t>
      </w:r>
    </w:p>
    <w:p>
      <w:pPr>
        <w:pStyle w:val="31"/>
        <w:numPr>
          <w:ilvl w:val="0"/>
          <w:numId w:val="0"/>
        </w:numPr>
        <w:tabs>
          <w:tab w:val="left" w:pos="1313"/>
          <w:tab w:val="left" w:pos="6656"/>
          <w:tab w:val="left" w:pos="9680"/>
        </w:tabs>
        <w:spacing w:line="364" w:lineRule="auto"/>
        <w:ind w:right="-37" w:rightChars="0" w:firstLine="422" w:firstLineChars="200"/>
        <w:rPr>
          <w:rFonts w:ascii="宋体" w:hAnsi="宋体" w:eastAsia="宋体" w:cs="宋体"/>
          <w:b/>
          <w:bCs/>
          <w:color w:val="auto"/>
          <w:sz w:val="21"/>
          <w:highlight w:val="none"/>
        </w:rPr>
      </w:pPr>
      <w:r>
        <w:rPr>
          <w:rFonts w:ascii="宋体" w:hAnsi="宋体" w:eastAsia="宋体" w:cs="宋体"/>
          <w:b/>
          <w:bCs/>
          <w:color w:val="auto"/>
          <w:sz w:val="21"/>
          <w:highlight w:val="none"/>
        </w:rPr>
        <w:t>17.6最终结清</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17.6.1最终结清申请单</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本项(1)目约定为：</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承包人应按交通运输部及广东省交通运输厅关于交通基本建设项目竣工决算编制和省级造价信息化平台的有关规定，及时编制相应的工程结算文件，报监理人审核，发包人确认。承包人向监理人提交最终结清申请单(包括相关证明材料)的份数在项目专用合同条款数据表中约定；期限：缺陷责任期终止证书签发后28天内。</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最终结清申请单中的总金额应认为是代表了根据合同规定应付给承包人的全部款项的最后结算。</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lang w:val="en-US"/>
        </w:rPr>
      </w:pPr>
      <w:r>
        <w:rPr>
          <w:rFonts w:hint="eastAsia" w:ascii="宋体" w:hAnsi="宋体" w:eastAsia="宋体" w:cs="宋体"/>
          <w:color w:val="auto"/>
          <w:sz w:val="21"/>
          <w:highlight w:val="none"/>
          <w:lang w:val="en-US"/>
        </w:rPr>
        <w:t>本合同价款采用</w:t>
      </w:r>
      <w:r>
        <w:rPr>
          <w:rFonts w:hint="eastAsia" w:ascii="宋体" w:hAnsi="宋体" w:eastAsia="宋体" w:cs="宋体"/>
          <w:color w:val="auto"/>
          <w:sz w:val="21"/>
          <w:highlight w:val="none"/>
          <w:u w:val="single"/>
        </w:rPr>
        <w:t>固定</w:t>
      </w:r>
      <w:r>
        <w:rPr>
          <w:rFonts w:hint="eastAsia" w:cs="宋体"/>
          <w:color w:val="auto"/>
          <w:sz w:val="21"/>
          <w:highlight w:val="none"/>
          <w:u w:val="single"/>
          <w:lang w:eastAsia="zh-CN"/>
        </w:rPr>
        <w:t>单价</w:t>
      </w:r>
      <w:r>
        <w:rPr>
          <w:rFonts w:hint="eastAsia" w:ascii="宋体" w:hAnsi="宋体" w:eastAsia="宋体" w:cs="宋体"/>
          <w:color w:val="auto"/>
          <w:sz w:val="21"/>
          <w:highlight w:val="none"/>
          <w:u w:val="single"/>
        </w:rPr>
        <w:t>合同</w:t>
      </w:r>
      <w:r>
        <w:rPr>
          <w:rFonts w:hint="eastAsia" w:ascii="宋体" w:hAnsi="宋体" w:eastAsia="宋体" w:cs="宋体"/>
          <w:color w:val="auto"/>
          <w:sz w:val="21"/>
          <w:highlight w:val="none"/>
          <w:lang w:val="en-US"/>
        </w:rPr>
        <w:t>方式确定。施工图纸没有变更的，以中标价作为结算价。风险范围包括:施工期间材料价格、人工和机械费用的调整</w:t>
      </w:r>
      <w:r>
        <w:rPr>
          <w:rFonts w:hint="eastAsia" w:ascii="宋体" w:hAnsi="宋体" w:eastAsia="宋体" w:cs="宋体"/>
          <w:color w:val="auto"/>
          <w:sz w:val="21"/>
          <w:highlight w:val="none"/>
          <w:lang w:val="en-US" w:eastAsia="zh-CN"/>
        </w:rPr>
        <w:t>（</w:t>
      </w:r>
      <w:r>
        <w:rPr>
          <w:rFonts w:hint="eastAsia" w:ascii="宋体" w:hAnsi="宋体" w:eastAsia="宋体" w:cs="宋体"/>
          <w:color w:val="auto"/>
          <w:sz w:val="21"/>
          <w:highlight w:val="none"/>
          <w:lang w:val="en-US"/>
        </w:rPr>
        <w:t>除政策性外</w:t>
      </w:r>
      <w:r>
        <w:rPr>
          <w:rFonts w:hint="eastAsia" w:ascii="宋体" w:hAnsi="宋体" w:eastAsia="宋体" w:cs="宋体"/>
          <w:color w:val="auto"/>
          <w:sz w:val="21"/>
          <w:highlight w:val="none"/>
          <w:lang w:val="en-US" w:eastAsia="zh-CN"/>
        </w:rPr>
        <w:t>）</w:t>
      </w:r>
      <w:r>
        <w:rPr>
          <w:rFonts w:hint="eastAsia" w:ascii="宋体" w:hAnsi="宋体" w:eastAsia="宋体" w:cs="宋体"/>
          <w:color w:val="auto"/>
          <w:sz w:val="21"/>
          <w:highlight w:val="none"/>
          <w:lang w:val="en-US"/>
        </w:rPr>
        <w:t>，以及工程量清单中少报、漏报工程量的费用，风险费为零。风险范围以外合同价款调整方法:设计修改、招标文件工程量清单中未包括而发包人又委托承包人施工的项目是风险范围以外应调整合同价款的项目，调整的方法为:工程量清单中没涉及的项目，则按实际工程量参考省定额算出造价后乘以中标价与招标参考价的比率，报招标单位同意后，作为结算价。</w:t>
      </w:r>
    </w:p>
    <w:p>
      <w:pPr>
        <w:pStyle w:val="31"/>
        <w:numPr>
          <w:ilvl w:val="0"/>
          <w:numId w:val="0"/>
        </w:numPr>
        <w:tabs>
          <w:tab w:val="left" w:pos="1313"/>
          <w:tab w:val="left" w:pos="6656"/>
          <w:tab w:val="left" w:pos="9680"/>
        </w:tabs>
        <w:spacing w:line="364" w:lineRule="auto"/>
        <w:ind w:right="-37" w:rightChars="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lang w:val="en-US" w:eastAsia="zh-CN"/>
        </w:rPr>
        <w:t>18、</w:t>
      </w:r>
      <w:r>
        <w:rPr>
          <w:rFonts w:ascii="宋体" w:hAnsi="宋体" w:eastAsia="宋体" w:cs="宋体"/>
          <w:b/>
          <w:bCs/>
          <w:color w:val="auto"/>
          <w:sz w:val="24"/>
          <w:szCs w:val="28"/>
          <w:highlight w:val="none"/>
        </w:rPr>
        <w:t>交工验收</w:t>
      </w:r>
    </w:p>
    <w:p>
      <w:pPr>
        <w:pStyle w:val="31"/>
        <w:numPr>
          <w:ilvl w:val="0"/>
          <w:numId w:val="0"/>
        </w:numPr>
        <w:tabs>
          <w:tab w:val="left" w:pos="1313"/>
          <w:tab w:val="left" w:pos="6656"/>
          <w:tab w:val="left" w:pos="9680"/>
        </w:tabs>
        <w:spacing w:line="364" w:lineRule="auto"/>
        <w:ind w:right="-37" w:rightChars="0" w:firstLine="422" w:firstLineChars="200"/>
        <w:rPr>
          <w:rFonts w:ascii="宋体" w:hAnsi="宋体" w:eastAsia="宋体" w:cs="宋体"/>
          <w:b/>
          <w:bCs/>
          <w:color w:val="auto"/>
          <w:sz w:val="21"/>
          <w:highlight w:val="none"/>
        </w:rPr>
      </w:pPr>
      <w:r>
        <w:rPr>
          <w:rFonts w:ascii="宋体" w:hAnsi="宋体" w:eastAsia="宋体" w:cs="宋体"/>
          <w:b/>
          <w:bCs/>
          <w:color w:val="auto"/>
          <w:sz w:val="21"/>
          <w:highlight w:val="none"/>
        </w:rPr>
        <w:t>18.9竣工文件</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在本款后增加以下内容：</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在工程实施过程中及在项目完工后，承包人应按照《广东省交通运输厅关于公路建设项目档案的管理办法》和发包人制定的竣工文件资料管理办法的规定开展竣工文件材料的编制、收集、整理、立卷、归档及信息化平台上传等工作，相应的竣工档案编制费按指定金额在工程量清单第100章中以总额报价。</w:t>
      </w:r>
    </w:p>
    <w:p>
      <w:pPr>
        <w:pStyle w:val="31"/>
        <w:numPr>
          <w:ilvl w:val="0"/>
          <w:numId w:val="0"/>
        </w:numPr>
        <w:tabs>
          <w:tab w:val="left" w:pos="1313"/>
          <w:tab w:val="left" w:pos="6656"/>
          <w:tab w:val="left" w:pos="9680"/>
        </w:tabs>
        <w:spacing w:line="364" w:lineRule="auto"/>
        <w:ind w:right="-37" w:rightChars="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lang w:val="en-US" w:eastAsia="zh-CN"/>
        </w:rPr>
        <w:t>19、</w:t>
      </w:r>
      <w:r>
        <w:rPr>
          <w:rFonts w:ascii="宋体" w:hAnsi="宋体" w:eastAsia="宋体" w:cs="宋体"/>
          <w:b/>
          <w:bCs/>
          <w:color w:val="auto"/>
          <w:sz w:val="24"/>
          <w:szCs w:val="28"/>
          <w:highlight w:val="none"/>
        </w:rPr>
        <w:t>缺陷责任与保修责任</w:t>
      </w:r>
    </w:p>
    <w:p>
      <w:pPr>
        <w:pStyle w:val="31"/>
        <w:numPr>
          <w:ilvl w:val="0"/>
          <w:numId w:val="0"/>
        </w:numPr>
        <w:tabs>
          <w:tab w:val="left" w:pos="1313"/>
          <w:tab w:val="left" w:pos="6656"/>
          <w:tab w:val="left" w:pos="9680"/>
        </w:tabs>
        <w:spacing w:line="364" w:lineRule="auto"/>
        <w:ind w:right="-37" w:rightChars="0" w:firstLine="422" w:firstLineChars="200"/>
        <w:rPr>
          <w:rFonts w:ascii="宋体" w:hAnsi="宋体" w:eastAsia="宋体" w:cs="宋体"/>
          <w:b/>
          <w:bCs/>
          <w:color w:val="auto"/>
          <w:sz w:val="21"/>
          <w:highlight w:val="none"/>
        </w:rPr>
      </w:pPr>
      <w:r>
        <w:rPr>
          <w:rFonts w:ascii="宋体" w:hAnsi="宋体" w:eastAsia="宋体" w:cs="宋体"/>
          <w:b/>
          <w:bCs/>
          <w:color w:val="auto"/>
          <w:sz w:val="21"/>
          <w:highlight w:val="none"/>
        </w:rPr>
        <w:t>19.2缺陷责任</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在19.2.2项后增加以下内容：</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承包人应在缺陷责任期内安排专人负责缺陷责任期的管理工作，并确保在接到发包人要求处理有关缺陷事项的通知后24小时内到达现场，到达现场后随即采取有效措施解决工程遗留的缺陷或其它问题。</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承包人未履行本款规定的缺陷责任义务，将按照22.1款承包人违约处理。</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本款补充第19.2.5项：</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19.2.5工程完工后，承包人所在合同段遗留的问题，承包人应积极主动地进行处理和解决并承担所有费用。如上述问题特别是与地方有关的遗留问题，承包人在发包人规定的期限内不能妥善处理的，发包人有权单独或委托相关单位进行处理，发生的全部费用从承包人质量保证金中相应扣回，承包人应无条件接受。</w:t>
      </w:r>
    </w:p>
    <w:p>
      <w:pPr>
        <w:pStyle w:val="31"/>
        <w:numPr>
          <w:ilvl w:val="0"/>
          <w:numId w:val="0"/>
        </w:numPr>
        <w:tabs>
          <w:tab w:val="left" w:pos="1313"/>
          <w:tab w:val="left" w:pos="6656"/>
          <w:tab w:val="left" w:pos="9680"/>
        </w:tabs>
        <w:spacing w:line="364" w:lineRule="auto"/>
        <w:ind w:right="-37" w:rightChars="0"/>
        <w:rPr>
          <w:rFonts w:ascii="宋体" w:hAnsi="宋体" w:eastAsia="宋体" w:cs="宋体"/>
          <w:b/>
          <w:bCs/>
          <w:color w:val="auto"/>
          <w:sz w:val="24"/>
          <w:szCs w:val="28"/>
          <w:highlight w:val="none"/>
        </w:rPr>
      </w:pPr>
      <w:r>
        <w:rPr>
          <w:rFonts w:hint="eastAsia" w:ascii="宋体" w:hAnsi="宋体" w:eastAsia="宋体" w:cs="宋体"/>
          <w:b/>
          <w:bCs/>
          <w:color w:val="auto"/>
          <w:sz w:val="24"/>
          <w:szCs w:val="28"/>
          <w:highlight w:val="none"/>
          <w:lang w:val="en-US" w:eastAsia="zh-CN"/>
        </w:rPr>
        <w:t>20、</w:t>
      </w:r>
      <w:r>
        <w:rPr>
          <w:rFonts w:ascii="宋体" w:hAnsi="宋体" w:eastAsia="宋体" w:cs="宋体"/>
          <w:b/>
          <w:bCs/>
          <w:color w:val="auto"/>
          <w:sz w:val="24"/>
          <w:szCs w:val="28"/>
          <w:highlight w:val="none"/>
        </w:rPr>
        <w:t>保险</w:t>
      </w:r>
    </w:p>
    <w:p>
      <w:pPr>
        <w:pStyle w:val="31"/>
        <w:numPr>
          <w:ilvl w:val="0"/>
          <w:numId w:val="0"/>
        </w:numPr>
        <w:tabs>
          <w:tab w:val="left" w:pos="1313"/>
          <w:tab w:val="left" w:pos="6656"/>
          <w:tab w:val="left" w:pos="9680"/>
        </w:tabs>
        <w:spacing w:line="364" w:lineRule="auto"/>
        <w:ind w:right="-37" w:rightChars="0" w:firstLine="422" w:firstLineChars="200"/>
        <w:rPr>
          <w:rFonts w:ascii="宋体" w:hAnsi="宋体" w:eastAsia="宋体" w:cs="宋体"/>
          <w:b/>
          <w:bCs/>
          <w:color w:val="auto"/>
          <w:sz w:val="21"/>
          <w:highlight w:val="none"/>
        </w:rPr>
      </w:pPr>
      <w:r>
        <w:rPr>
          <w:rFonts w:hint="eastAsia" w:ascii="宋体" w:hAnsi="宋体" w:eastAsia="宋体" w:cs="宋体"/>
          <w:b/>
          <w:bCs/>
          <w:color w:val="auto"/>
          <w:sz w:val="21"/>
          <w:highlight w:val="none"/>
          <w:lang w:val="en-US" w:eastAsia="zh-CN"/>
        </w:rPr>
        <w:t>20.1</w:t>
      </w:r>
      <w:r>
        <w:rPr>
          <w:rFonts w:ascii="宋体" w:hAnsi="宋体" w:eastAsia="宋体" w:cs="宋体"/>
          <w:b/>
          <w:bCs/>
          <w:color w:val="auto"/>
          <w:sz w:val="21"/>
          <w:highlight w:val="none"/>
        </w:rPr>
        <w:t>工程保险</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highlight w:val="none"/>
        </w:rPr>
      </w:pPr>
      <w:r>
        <w:rPr>
          <w:rFonts w:ascii="宋体" w:hAnsi="宋体" w:eastAsia="宋体" w:cs="宋体"/>
          <w:color w:val="auto"/>
          <w:sz w:val="21"/>
          <w:highlight w:val="none"/>
        </w:rPr>
        <w:t>删除原20.1款的全部内容，代之以：</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ascii="宋体" w:hAnsi="宋体" w:eastAsia="宋体" w:cs="宋体"/>
          <w:color w:val="auto"/>
          <w:sz w:val="21"/>
        </w:rPr>
        <w:t>建筑工程一切险及第三者责任险</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hint="eastAsia" w:ascii="宋体" w:hAnsi="宋体" w:eastAsia="宋体" w:cs="宋体"/>
          <w:color w:val="auto"/>
          <w:sz w:val="21"/>
          <w:lang w:val="en-US"/>
        </w:rPr>
        <w:t>20.1.1</w:t>
      </w:r>
      <w:r>
        <w:rPr>
          <w:rFonts w:ascii="宋体" w:hAnsi="宋体" w:eastAsia="宋体" w:cs="宋体"/>
          <w:color w:val="auto"/>
          <w:sz w:val="21"/>
        </w:rPr>
        <w:t>建筑工程一切险的投保内容：为本合同工程的永久工程、临时工程和设备及已运至施工工地用于永久工程的材料和设备所投的保险。第三者责任系指在保险期内，对因工程意外事故造成的、依法应由被保险人负责的工地上及毗邻地区的第三者人身伤亡、疾病或财产损失（本工程除外），以及被保险人因此而支付的诉讼费用和事先经保险人书面同意支付的其他费用等赔偿责任。</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ascii="宋体" w:hAnsi="宋体" w:eastAsia="宋体" w:cs="宋体"/>
          <w:color w:val="auto"/>
          <w:sz w:val="21"/>
        </w:rPr>
        <w:t>保险金额：工程量清单第100章（不含安全生产费、建筑工程一切险及第三者责任险的保险费、暂定金总额，机电工程招标时不含设备购置费）至900章的合计金额。</w:t>
      </w:r>
    </w:p>
    <w:p>
      <w:pPr>
        <w:pStyle w:val="31"/>
        <w:numPr>
          <w:ilvl w:val="0"/>
          <w:numId w:val="0"/>
        </w:numPr>
        <w:tabs>
          <w:tab w:val="left" w:pos="1313"/>
          <w:tab w:val="left" w:pos="6656"/>
          <w:tab w:val="left" w:pos="9680"/>
        </w:tabs>
        <w:spacing w:line="364" w:lineRule="auto"/>
        <w:ind w:right="-37" w:rightChars="0" w:firstLine="420" w:firstLineChars="200"/>
        <w:rPr>
          <w:rFonts w:ascii="宋体" w:hAnsi="宋体" w:eastAsia="宋体" w:cs="宋体"/>
          <w:color w:val="auto"/>
          <w:sz w:val="21"/>
        </w:rPr>
      </w:pPr>
      <w:r>
        <w:rPr>
          <w:rFonts w:ascii="宋体" w:hAnsi="宋体" w:eastAsia="宋体" w:cs="宋体"/>
          <w:color w:val="auto"/>
          <w:sz w:val="21"/>
        </w:rPr>
        <w:t>保险费率：在项目专用合同条款数据表中约定。</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保险期限：开工日起直至本合同工程签发缺陷责任期终止证书止（即合同工期＋缺陷责任期）。发包人或承包人应以发包人和承包人的共同名义投保建筑工程一切险及第三者责任险。建筑工程一切险及第三者责任险的保险费由承包人报价时按项目专用合同条款数据表规定的费率计算并列入工程量清单100章内。不论实际投保费用是高于或低于按上述办法计算的保费，发包人都不作调整。上述保险费，将由发包人从承包人的应付款中代扣，统一向保险公司支付；或先由承包人支付，在接到保险公司的保险单并经监理人签证后，发包人将按照保险单的费用直接向承包人支付，但不得高于投标文件该项所报总额价。</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20.1.2保险标的出险后，承包人应自行向保险人报案、登记、索赔并报告发包人，并做好资料整理、工程损失计算等。上述工作所产生的费用由承包人承担。</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20.1.3因保险事故产生的修复、索赔等责任由承包人承担。若承包人放弃索赔或因自身原因延误索赔，发包人保留索赔的权利，保险索赔所得费用归发包人所有。</w:t>
      </w:r>
    </w:p>
    <w:p>
      <w:pPr>
        <w:pStyle w:val="31"/>
        <w:numPr>
          <w:ilvl w:val="0"/>
          <w:numId w:val="0"/>
        </w:numPr>
        <w:tabs>
          <w:tab w:val="left" w:pos="1313"/>
          <w:tab w:val="left" w:pos="6656"/>
          <w:tab w:val="left" w:pos="9680"/>
        </w:tabs>
        <w:spacing w:line="364" w:lineRule="auto"/>
        <w:ind w:right="-37" w:rightChars="0" w:firstLine="422" w:firstLineChars="200"/>
        <w:rPr>
          <w:rFonts w:hint="eastAsia" w:ascii="宋体" w:hAnsi="宋体" w:eastAsia="宋体" w:cs="宋体"/>
          <w:b/>
          <w:bCs/>
          <w:color w:val="auto"/>
          <w:sz w:val="21"/>
          <w:lang w:val="en-US" w:eastAsia="zh-CN"/>
        </w:rPr>
      </w:pPr>
      <w:r>
        <w:rPr>
          <w:rFonts w:hint="eastAsia" w:ascii="宋体" w:hAnsi="宋体" w:eastAsia="宋体" w:cs="宋体"/>
          <w:b/>
          <w:bCs/>
          <w:color w:val="auto"/>
          <w:sz w:val="21"/>
          <w:lang w:val="en-US" w:eastAsia="zh-CN"/>
        </w:rPr>
        <w:t>20.4第三者责任险</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将20.4.2款最后一段文字修改如下：</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第三者责任险的保险费由承包人报价时按项目专用合同条款数据表规定的费率和最低投保金额计算并列入工程量清单100章内。上述保险费，将由发包人从承包人的应付款中代扣，统一向保险公司支付。</w:t>
      </w:r>
    </w:p>
    <w:p>
      <w:pPr>
        <w:pStyle w:val="31"/>
        <w:numPr>
          <w:ilvl w:val="0"/>
          <w:numId w:val="0"/>
        </w:numPr>
        <w:tabs>
          <w:tab w:val="left" w:pos="1313"/>
          <w:tab w:val="left" w:pos="6656"/>
          <w:tab w:val="left" w:pos="9680"/>
        </w:tabs>
        <w:spacing w:line="364" w:lineRule="auto"/>
        <w:ind w:right="-37" w:rightChars="0"/>
        <w:rPr>
          <w:rFonts w:hint="eastAsia" w:ascii="宋体" w:hAnsi="宋体" w:eastAsia="宋体" w:cs="宋体"/>
          <w:b/>
          <w:bCs/>
          <w:color w:val="auto"/>
          <w:sz w:val="24"/>
          <w:szCs w:val="28"/>
          <w:lang w:val="en-US" w:eastAsia="zh-CN"/>
        </w:rPr>
      </w:pPr>
      <w:r>
        <w:rPr>
          <w:rFonts w:hint="eastAsia" w:ascii="宋体" w:hAnsi="宋体" w:eastAsia="宋体" w:cs="宋体"/>
          <w:b/>
          <w:bCs/>
          <w:color w:val="auto"/>
          <w:sz w:val="24"/>
          <w:szCs w:val="28"/>
          <w:lang w:val="en-US" w:eastAsia="zh-CN"/>
        </w:rPr>
        <w:t>21、不可抗力</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21.1不可抗力的确认</w:t>
      </w:r>
    </w:p>
    <w:p>
      <w:pPr>
        <w:pStyle w:val="31"/>
        <w:numPr>
          <w:ilvl w:val="0"/>
          <w:numId w:val="0"/>
        </w:numPr>
        <w:tabs>
          <w:tab w:val="left" w:pos="1313"/>
          <w:tab w:val="left" w:pos="6656"/>
          <w:tab w:val="left" w:pos="9680"/>
        </w:tabs>
        <w:spacing w:line="364" w:lineRule="auto"/>
        <w:ind w:right="-37" w:rightChars="0" w:firstLine="420" w:firstLineChars="200"/>
        <w:rPr>
          <w:rFonts w:hint="default" w:ascii="宋体" w:hAnsi="宋体" w:eastAsia="宋体" w:cs="宋体"/>
          <w:color w:val="auto"/>
          <w:sz w:val="21"/>
          <w:u w:val="single"/>
          <w:lang w:val="en-US" w:eastAsia="zh-CN"/>
        </w:rPr>
      </w:pPr>
      <w:r>
        <w:rPr>
          <w:rFonts w:hint="eastAsia" w:ascii="宋体" w:hAnsi="宋体" w:eastAsia="宋体" w:cs="宋体"/>
          <w:color w:val="auto"/>
          <w:sz w:val="21"/>
          <w:lang w:val="en-US" w:eastAsia="zh-CN"/>
        </w:rPr>
        <w:t>21.1.1(6)不可抗力的其他情形：</w:t>
      </w:r>
      <w:r>
        <w:rPr>
          <w:rFonts w:hint="eastAsia" w:ascii="宋体" w:hAnsi="宋体" w:eastAsia="宋体" w:cs="宋体"/>
          <w:color w:val="auto"/>
          <w:sz w:val="21"/>
          <w:u w:val="single"/>
          <w:lang w:val="en-US" w:eastAsia="zh-CN"/>
        </w:rPr>
        <w:t>无。</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21.3不可抗力后果及其处理</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21.3.1不可抗力造成损害的责任</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本款补充如下内容：本款中凡是约定由发包人承担损失和赔偿责任的，均按照第20条的约定，属保险范围内的均由承保人承担。如保险金不足以补偿上述损失，则按照第20.6.4款约定执行。</w:t>
      </w:r>
    </w:p>
    <w:p>
      <w:pPr>
        <w:pStyle w:val="31"/>
        <w:numPr>
          <w:ilvl w:val="0"/>
          <w:numId w:val="0"/>
        </w:numPr>
        <w:tabs>
          <w:tab w:val="left" w:pos="1313"/>
          <w:tab w:val="left" w:pos="6656"/>
          <w:tab w:val="left" w:pos="9680"/>
        </w:tabs>
        <w:spacing w:line="364" w:lineRule="auto"/>
        <w:ind w:right="-37" w:rightChars="0"/>
        <w:rPr>
          <w:rFonts w:hint="eastAsia" w:ascii="宋体" w:hAnsi="宋体" w:eastAsia="宋体" w:cs="宋体"/>
          <w:b/>
          <w:bCs/>
          <w:color w:val="auto"/>
          <w:sz w:val="24"/>
          <w:szCs w:val="28"/>
          <w:lang w:val="en-US" w:eastAsia="zh-CN"/>
        </w:rPr>
      </w:pPr>
      <w:r>
        <w:rPr>
          <w:rFonts w:hint="eastAsia" w:ascii="宋体" w:hAnsi="宋体" w:eastAsia="宋体" w:cs="宋体"/>
          <w:b/>
          <w:bCs/>
          <w:color w:val="auto"/>
          <w:sz w:val="24"/>
          <w:szCs w:val="28"/>
          <w:lang w:val="en-US" w:eastAsia="zh-CN"/>
        </w:rPr>
        <w:t>22、违约</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22.1承包人违约</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第22.1.1(4)目补充为：承包人未能按合同进度计划及时完成合同约定的工作，或未切实履行第4.1.7款的约定，导致发生工程阻工、停工，已造成或预期造成工期延误；</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22.1.2对承包人违约的处理</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将本款第(4)目修改如下：</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承包人发生第22.1.1项约定的违约情况时，无论发包人是否解除合同，发包人均有权按本合同附件十二的规定向承包人课以违约金，并由发包人将其违约行为上报上级交通运输主管部门，作为不良记录纳入公路建设市场信用信息管理系统。</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在本款下增加第(5)～第(7)目如下：</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5）发包人按合同规定向承包人开出的任何违约惩罚金，除合同另有规定外，均从发包人应向承包人支付的工程款中直接扣除。除非合同另有规定，发包人向承包人开出的任何违约惩罚金将导致承包人最终的应得结算价款相应地减少。承包人必须完全接受上述条款。</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6）发包人按合同规定向承包人开出的任何违约惩罚金的扣除时间，可以在发包人认为合适的任何一个期中支付月份中扣除。发包人扣除违约惩罚金时间的延迟或滞后并不代表对承包人当时各种行为的认可或默认。</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（7）本项目所有承包人的违约金均由业主掌握使用，可用于本项目的各项评比和奖励。</w:t>
      </w:r>
    </w:p>
    <w:p>
      <w:pPr>
        <w:pStyle w:val="31"/>
        <w:numPr>
          <w:ilvl w:val="0"/>
          <w:numId w:val="0"/>
        </w:numPr>
        <w:tabs>
          <w:tab w:val="left" w:pos="1313"/>
          <w:tab w:val="left" w:pos="6656"/>
          <w:tab w:val="left" w:pos="9680"/>
        </w:tabs>
        <w:spacing w:line="364" w:lineRule="auto"/>
        <w:ind w:right="-37" w:rightChars="0" w:firstLine="422" w:firstLineChars="200"/>
        <w:rPr>
          <w:rFonts w:hint="eastAsia" w:ascii="宋体" w:hAnsi="宋体" w:eastAsia="宋体" w:cs="宋体"/>
          <w:b/>
          <w:bCs/>
          <w:color w:val="auto"/>
          <w:sz w:val="21"/>
          <w:lang w:val="en-US" w:eastAsia="zh-CN"/>
        </w:rPr>
      </w:pPr>
      <w:r>
        <w:rPr>
          <w:rFonts w:hint="eastAsia" w:ascii="宋体" w:hAnsi="宋体" w:eastAsia="宋体" w:cs="宋体"/>
          <w:b/>
          <w:bCs/>
          <w:color w:val="auto"/>
          <w:sz w:val="21"/>
          <w:lang w:val="en-US" w:eastAsia="zh-CN"/>
        </w:rPr>
        <w:t>22.2发包人违约</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本款细化为：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22.2.1如果发包人无合理的理由去阻挠或拒绝符合合同规定的付款证书颁发所需的批准，则可视为发包人违约。承包人有权终止合同，并在通知发包人和将通知副本提交监理人的28天后，合同终止生效。</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22.2.2如果合同因发包人违约而终止，承包人可要求发包人支付以下费用：</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(a)发包人需向承包人支付合同终止之日前已完成的全部工程费用。</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(b)即将交付承包人的，或承包人依法有责任接收的为该工程合理订购的材料、工程设备或货物的费用，发包人一经支付此项费用，该材料、工程设备或货物即成为发包人的财产。</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(c)已合理开支的确定属于承包人为完成整个工程而合理发生的其它费用，而该费用未在本条款的其它各项下支付。</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(d)考虑已完工程的付款比例，给予适当人员、设备等的退场费</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22.2.3发包人除按本款规定支付上述费用给承包人外，亦有权要求承包人偿还按合同条款规定的或未结清的承包人欠发包人的各种款项。</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22.24承包人（包括其分包人）出于追索本合同条款以外的利益，以有违社会规范的行为构成对发包人骚扰的，承包人须承担法律和经济责任。</w:t>
      </w:r>
    </w:p>
    <w:p>
      <w:pPr>
        <w:pStyle w:val="31"/>
        <w:numPr>
          <w:ilvl w:val="0"/>
          <w:numId w:val="0"/>
        </w:numPr>
        <w:tabs>
          <w:tab w:val="left" w:pos="1313"/>
          <w:tab w:val="left" w:pos="6656"/>
          <w:tab w:val="left" w:pos="9680"/>
        </w:tabs>
        <w:spacing w:line="364" w:lineRule="auto"/>
        <w:ind w:right="-37" w:rightChars="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增加第25条</w:t>
      </w:r>
    </w:p>
    <w:p>
      <w:pPr>
        <w:pStyle w:val="31"/>
        <w:numPr>
          <w:ilvl w:val="0"/>
          <w:numId w:val="0"/>
        </w:numPr>
        <w:tabs>
          <w:tab w:val="left" w:pos="1313"/>
          <w:tab w:val="left" w:pos="6656"/>
          <w:tab w:val="left" w:pos="9680"/>
        </w:tabs>
        <w:spacing w:line="364" w:lineRule="auto"/>
        <w:ind w:right="-37" w:rightChars="0"/>
        <w:rPr>
          <w:rFonts w:hint="eastAsia" w:ascii="宋体" w:hAnsi="宋体" w:eastAsia="宋体" w:cs="宋体"/>
          <w:b/>
          <w:bCs/>
          <w:color w:val="auto"/>
          <w:sz w:val="24"/>
          <w:szCs w:val="28"/>
          <w:lang w:val="en-US" w:eastAsia="zh-CN"/>
        </w:rPr>
      </w:pPr>
      <w:r>
        <w:rPr>
          <w:rFonts w:hint="eastAsia" w:ascii="宋体" w:hAnsi="宋体" w:eastAsia="宋体" w:cs="宋体"/>
          <w:b/>
          <w:bCs/>
          <w:color w:val="auto"/>
          <w:sz w:val="24"/>
          <w:szCs w:val="28"/>
          <w:lang w:val="en-US" w:eastAsia="zh-CN"/>
        </w:rPr>
        <w:t>25、本项目需增加的专用合同条款</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劳动竞赛</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为激励承包人加快工程进度，确保合同工期，本合同将开展劳动竞赛，对承包人提前或确保进度的奖励。该金额按技术规范100章规定的方式在工程量清单中单列，该部分费用仅限于本合同段使用（或整个项目统筹使用，具体以评比方案为准）。承包人获得支付的额度取决于其完成进度的情况及在评比中的名次。有关评比方案发包人将在承包人进场后予以制定。</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25.2承包人退出机制</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发包人对不能满足各阶段工作目标的承包人实行强制退出本项目建设的办法。</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发包人将视承包人的实际施工能力情况，可按4.3.8款将该合同段内剩余工程的部分或全部进行特殊分包，强制部分或整体退出。由发包人在本项目选择履约情况好的承包人承接剩余工程或采用招标方式选择承包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25.2.1部分退出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(1)人员退出：承包人的主要管理人员和技术骨干如不满足要求的，按4.6.3项的规定进行处罚。</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(2)机械退出：机械设备达不到额定产能的85%者退出，并按监理人或发包人的要求及时组织性能良好的同类型的机械进驻施工现场。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(3)专业队伍退出：在施工过程中累计发生两次较大质量问题者强制退出。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(4)工程进度达不到上述要求，承包人增加人员、设备仍达不到进度要求的，发包人有权对相应分项工程进行强制分割处理。</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25.2.2整体退出</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(1)出现转包、非法分包；</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(2)出现重大安全责任，造成严重社会影响；</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(3)出现重大质量事故，严重影响工程质量和进度，造成严重社会影响；</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(4)由承包人自身原因导致使上述计划任务无法完成的；</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整体退出的施工企业，发包人将建议交通主管部门降低其信用等级。</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25.2.3退出清算</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(1)发包人对承包人整体退出本项目工程建设进行公示，并要求承包人对拖欠款项的单位和个人及时清算。</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(2)发包人扣押履约担保、质量保证金、停止计量支付。</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(3)承包人必须向发包人提交已完成工程的齐全的施工资料。</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(4)清算后特殊分包单位及分包价的确定原则：</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由发包人选择本项目实力较强、质量进度评比排名前5名的承包单位。对承包人进行询价，并将分包单位选择情况上报上级行政主管部门；特殊分包单位应具备特殊分包工程相对应的资质要求。</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(5)清算后费用承担：特殊分包范围内的项目，由于上述（4）确定的分包价与承包人合同价产生的价差由承包人承担。</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(6)承包人应无条件接受，指定特殊分包单位无须向承包人交纳管理费。</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但无论如何，承包人应按发包人要求提供已有的临时设施（如便道、电力线路等）供特殊分包人使用，承包人不得为此要求增加任何费用。</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25.3工程管理要求</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鉴于发包人在项目建设管理过程中将全面推行高速公路建设“双标管理”(标准化管理、标杆管理)，实行精细化管理，开展“平安工地”建设标准化活动，为确保对项目生产一线的有效管理，承包人在进场施工时应配备足够的车辆用于项目管理现场，直至本项目建成通车。承包人应针对上述管理要求制定相应的工作方案，相应的人员、车辆应报监理人及发包人审批。</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25.4电子文件归档和电子档案管理</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发包人在与承包人签订施工合同时，应在合同条款中明确项目电子文件归档和电子档案的管理责任，包括质量要求、归档范围、整理标准、归档时间、储存介质、文件格式、相关费用及违约责任等内容。</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25.5合同单方结算</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本合同工程交工验收后，为了按期完成工程竣工决算审查、审计及竣工验收工作，如发包人和承包人对结算确实存在分歧，经双方协商未果情况下，发包人有权进行合同单方结算，承包人须无条件接受。</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25.6本合同未尽事宜</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pPr>
      <w:r>
        <w:rPr>
          <w:rFonts w:hint="eastAsia" w:ascii="宋体" w:hAnsi="宋体" w:eastAsia="宋体" w:cs="宋体"/>
          <w:color w:val="auto"/>
          <w:sz w:val="21"/>
          <w:lang w:val="en-US" w:eastAsia="zh-CN"/>
        </w:rPr>
        <w:t>本合同未能明确的有关规定，如质量管理、计划管理、计量与支付管理、台帐管理办法、变更管理、材料管理、安全管理、有关评比方案以及奖惩办法等，按发包人在项目建设管理过程中颁发的项目管理手册或另行发布的相关管理办法执行。</w:t>
      </w:r>
    </w:p>
    <w:p>
      <w:pPr>
        <w:pStyle w:val="31"/>
        <w:numPr>
          <w:ilvl w:val="0"/>
          <w:numId w:val="0"/>
        </w:numPr>
        <w:tabs>
          <w:tab w:val="left" w:pos="1313"/>
          <w:tab w:val="left" w:pos="6656"/>
          <w:tab w:val="left" w:pos="9680"/>
        </w:tabs>
        <w:spacing w:line="364" w:lineRule="auto"/>
        <w:ind w:right="-37" w:rightChars="0" w:firstLine="420" w:firstLineChars="200"/>
        <w:rPr>
          <w:rFonts w:hint="eastAsia" w:ascii="宋体" w:hAnsi="宋体" w:eastAsia="宋体" w:cs="宋体"/>
          <w:color w:val="auto"/>
          <w:sz w:val="21"/>
          <w:lang w:val="en-US" w:eastAsia="zh-CN"/>
        </w:rPr>
        <w:sectPr>
          <w:headerReference r:id="rId24" w:type="default"/>
          <w:footerReference r:id="rId25" w:type="default"/>
          <w:pgSz w:w="11911" w:h="16838"/>
          <w:pgMar w:top="1247" w:right="1134" w:bottom="1247" w:left="1134" w:header="737" w:footer="850" w:gutter="0"/>
          <w:pgNumType w:fmt="numberInDash"/>
          <w:cols w:space="0" w:num="1"/>
          <w:rtlGutter w:val="0"/>
          <w:docGrid w:linePitch="0" w:charSpace="0"/>
        </w:sectPr>
      </w:pPr>
      <w:r>
        <w:rPr>
          <w:rFonts w:hint="eastAsia" w:ascii="宋体" w:hAnsi="宋体" w:eastAsia="宋体" w:cs="宋体"/>
          <w:color w:val="auto"/>
          <w:sz w:val="21"/>
          <w:lang w:val="en-US" w:eastAsia="zh-CN"/>
        </w:rPr>
        <w:t>发包人对项目实施动态管理，根据工程进展情况及项目目标实现情况，通过修正专用项目管理制度，不断建设完善项目管理责任体系，承包人须积极配合并无条件的接受</w:t>
      </w:r>
      <w:r>
        <w:rPr>
          <w:rFonts w:hint="eastAsia" w:cs="宋体"/>
          <w:color w:val="auto"/>
          <w:sz w:val="21"/>
          <w:lang w:val="en-US" w:eastAsia="zh-CN"/>
        </w:rPr>
        <w:t>。</w:t>
      </w:r>
    </w:p>
    <w:p>
      <w:pPr>
        <w:tabs>
          <w:tab w:val="left" w:pos="4626"/>
        </w:tabs>
        <w:spacing w:before="41"/>
        <w:jc w:val="center"/>
        <w:rPr>
          <w:b/>
          <w:bCs/>
          <w:color w:val="auto"/>
          <w:sz w:val="44"/>
          <w:szCs w:val="44"/>
        </w:rPr>
      </w:pPr>
      <w:r>
        <w:rPr>
          <w:b/>
          <w:bCs/>
          <w:color w:val="auto"/>
          <w:sz w:val="44"/>
          <w:szCs w:val="44"/>
        </w:rPr>
        <w:t>第三节合同附件格式</w:t>
      </w:r>
    </w:p>
    <w:p>
      <w:pPr>
        <w:pStyle w:val="13"/>
        <w:rPr>
          <w:color w:val="auto"/>
          <w:sz w:val="20"/>
        </w:rPr>
      </w:pPr>
    </w:p>
    <w:p>
      <w:pPr>
        <w:pStyle w:val="43"/>
        <w:spacing w:line="360" w:lineRule="auto"/>
        <w:ind w:left="0" w:leftChars="0" w:firstLine="0" w:firstLineChars="0"/>
        <w:jc w:val="both"/>
        <w:rPr>
          <w:rFonts w:hint="eastAsia" w:ascii="宋体" w:hAnsi="宋体" w:cs="宋体"/>
          <w:b/>
          <w:bCs/>
          <w:color w:val="auto"/>
          <w:sz w:val="24"/>
          <w:szCs w:val="24"/>
          <w:highlight w:val="none"/>
          <w:u w:val="none" w:color="auto"/>
        </w:rPr>
      </w:pPr>
      <w:bookmarkStart w:id="8" w:name="_Toc4937"/>
      <w:bookmarkStart w:id="9" w:name="_Toc29934"/>
      <w:bookmarkStart w:id="10" w:name="_Toc20178"/>
      <w:r>
        <w:rPr>
          <w:rFonts w:hint="eastAsia" w:ascii="宋体" w:hAnsi="宋体" w:cs="宋体"/>
          <w:b/>
          <w:bCs/>
          <w:color w:val="auto"/>
          <w:sz w:val="24"/>
          <w:szCs w:val="24"/>
          <w:highlight w:val="none"/>
          <w:u w:val="none" w:color="auto"/>
        </w:rPr>
        <w:t>附件一合同协议书</w:t>
      </w:r>
      <w:bookmarkEnd w:id="8"/>
      <w:bookmarkEnd w:id="9"/>
      <w:bookmarkEnd w:id="10"/>
    </w:p>
    <w:p>
      <w:pPr>
        <w:rPr>
          <w:rFonts w:hint="eastAsia" w:ascii="宋体" w:hAnsi="宋体" w:cs="宋体"/>
          <w:color w:val="auto"/>
          <w:sz w:val="24"/>
          <w:highlight w:val="none"/>
        </w:rPr>
      </w:pPr>
    </w:p>
    <w:p>
      <w:pPr>
        <w:jc w:val="center"/>
        <w:rPr>
          <w:rFonts w:hint="eastAsia" w:ascii="宋体" w:hAnsi="宋体" w:cs="宋体"/>
          <w:b/>
          <w:color w:val="auto"/>
          <w:sz w:val="32"/>
          <w:szCs w:val="32"/>
          <w:highlight w:val="none"/>
        </w:rPr>
      </w:pPr>
      <w:r>
        <w:rPr>
          <w:rFonts w:hint="eastAsia" w:ascii="宋体" w:hAnsi="宋体" w:cs="宋体"/>
          <w:b/>
          <w:color w:val="auto"/>
          <w:sz w:val="32"/>
          <w:szCs w:val="32"/>
          <w:highlight w:val="none"/>
        </w:rPr>
        <w:t>合同协议书</w:t>
      </w:r>
    </w:p>
    <w:p>
      <w:pPr>
        <w:rPr>
          <w:rFonts w:hint="eastAsia" w:ascii="宋体" w:hAnsi="宋体" w:cs="宋体"/>
          <w:color w:val="auto"/>
          <w:sz w:val="24"/>
          <w:highlight w:val="none"/>
        </w:rPr>
      </w:pP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（发包人名称，以下简称“发包人”）为实施（项目名称），已接受（承包人名称，以下简称“承包人”）对该项目标段施工的投标。发包人和承包人共同达成如下协议。</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1．第标段由K+至K+，长约km，公路等级为，设计时速为，路面，有立交处；特大桥座，计长m；大中桥座，计长m；隧道座，计长m以及其他构造物工程等。</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2.下列文件应视为构成合同文件的组成部分：</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（1）本协议书及各种合同附件（含评标期间和合同谈判过程中的澄清文件和补充资料）；</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（2）中标通知书；</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（3）投标函及投标函附录；</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（4）项目专用合同条款；</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（5）公路工程专用合同条款；</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（6）通用合同条款；</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（7）工程量清单计量规则；</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（8）技术规范；</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（9）图纸；</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（10）已标价工程量清单；</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（11）承包人有关人员、设备投入的承诺及投标文件中的施工组织设计；</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（12）其他合同文件。</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上述合同文件互相补充和解释。如有合同文件之间存在矛盾或不一致之处，以上述文件的排列顺序在先者为准。</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3.根据工程量清单所列的预计数量和单价或总额价计算的签约合同价：人民币（大写）</w:t>
      </w:r>
      <w:r>
        <w:rPr>
          <w:rFonts w:hint="eastAsia" w:ascii="宋体" w:hAnsi="宋体" w:cs="宋体"/>
          <w:color w:val="auto"/>
          <w:sz w:val="24"/>
          <w:highlight w:val="none"/>
          <w:u w:val="single"/>
        </w:rPr>
        <w:t>.</w:t>
      </w:r>
      <w:r>
        <w:rPr>
          <w:rFonts w:hint="eastAsia" w:ascii="宋体" w:hAnsi="宋体" w:cs="宋体"/>
          <w:color w:val="auto"/>
          <w:sz w:val="24"/>
          <w:highlight w:val="none"/>
        </w:rPr>
        <w:t>元（¥）。</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4.承包人项目经理：。承包人项目总工：。</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5.工程质量符合标准。工程安全目标：。</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6.承包人承诺按合同约定承担工程的实施、完成及缺陷修复。</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7.发包人承诺按合同约定的条件、时间和方式向承包人支付合同价款。</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8.承包人应按照监理人指示开工，工期为日历天。</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9.本协议书在承包人提供履约保证金后，由双方法定代表人或其委托代理人签署并加盖单位章后生效。全部工程完工后经交工验收合格、缺陷责任期满签发缺陷责任终止证书后生效。</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10．本协议书正本二份、副本份，合同双方各执正本一份，副本份，当正本与副本的内容不一致时，以正本为准。</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11.合同未尽事宜，双方另行签订补充协议。补充协议是合同的组成部分。</w:t>
      </w:r>
    </w:p>
    <w:p>
      <w:pPr>
        <w:spacing w:line="400" w:lineRule="exact"/>
        <w:rPr>
          <w:rFonts w:hint="eastAsia" w:ascii="宋体" w:hAnsi="宋体" w:cs="宋体"/>
          <w:color w:val="auto"/>
          <w:sz w:val="24"/>
          <w:highlight w:val="none"/>
        </w:rPr>
      </w:pPr>
    </w:p>
    <w:p>
      <w:pPr>
        <w:spacing w:line="400" w:lineRule="exact"/>
        <w:rPr>
          <w:rFonts w:hint="eastAsia" w:ascii="宋体" w:hAnsi="宋体" w:cs="宋体"/>
          <w:color w:val="auto"/>
          <w:sz w:val="24"/>
          <w:highlight w:val="none"/>
        </w:rPr>
      </w:pPr>
    </w:p>
    <w:p>
      <w:pPr>
        <w:spacing w:line="40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发包人：（盖单位章）承包人：（盖单位章）</w:t>
      </w:r>
    </w:p>
    <w:p>
      <w:pPr>
        <w:spacing w:line="400" w:lineRule="exact"/>
        <w:rPr>
          <w:rFonts w:hint="eastAsia" w:ascii="宋体" w:hAnsi="宋体" w:cs="宋体"/>
          <w:color w:val="auto"/>
          <w:sz w:val="24"/>
          <w:highlight w:val="none"/>
        </w:rPr>
      </w:pPr>
      <w:r>
        <w:rPr>
          <w:rFonts w:hint="eastAsia" w:ascii="宋体" w:hAnsi="宋体" w:cs="宋体"/>
          <w:color w:val="auto"/>
          <w:sz w:val="24"/>
          <w:highlight w:val="none"/>
        </w:rPr>
        <w:t>法定代表人或其委托代理人：（签字）法定代表人或其委托代理人：（签字）</w:t>
      </w:r>
    </w:p>
    <w:p>
      <w:pPr>
        <w:numPr>
          <w:ilvl w:val="0"/>
          <w:numId w:val="0"/>
        </w:numPr>
        <w:tabs>
          <w:tab w:val="left" w:pos="1119"/>
        </w:tabs>
        <w:spacing w:line="347" w:lineRule="exact"/>
        <w:ind w:left="821" w:leftChars="0" w:right="186" w:rightChars="0"/>
        <w:rPr>
          <w:color w:val="auto"/>
          <w:sz w:val="24"/>
        </w:rPr>
      </w:pPr>
      <w:r>
        <w:rPr>
          <w:rFonts w:hint="eastAsia" w:ascii="宋体" w:hAnsi="宋体" w:cs="宋体"/>
          <w:color w:val="auto"/>
          <w:sz w:val="24"/>
          <w:highlight w:val="none"/>
        </w:rPr>
        <w:t>年月日年月日</w:t>
      </w:r>
    </w:p>
    <w:p>
      <w:pPr>
        <w:rPr>
          <w:color w:val="auto"/>
          <w:sz w:val="24"/>
        </w:rPr>
      </w:pPr>
      <w:r>
        <w:rPr>
          <w:color w:val="auto"/>
          <w:sz w:val="24"/>
        </w:rPr>
        <w:br w:type="page"/>
      </w:r>
    </w:p>
    <w:p>
      <w:pPr>
        <w:pStyle w:val="43"/>
        <w:spacing w:line="360" w:lineRule="auto"/>
        <w:ind w:left="0" w:leftChars="0" w:firstLine="0" w:firstLineChars="0"/>
        <w:jc w:val="both"/>
        <w:rPr>
          <w:rFonts w:hint="eastAsia" w:ascii="宋体" w:hAnsi="宋体" w:cs="宋体"/>
          <w:b/>
          <w:bCs/>
          <w:color w:val="auto"/>
          <w:sz w:val="24"/>
          <w:szCs w:val="24"/>
          <w:highlight w:val="none"/>
          <w:u w:val="none" w:color="auto"/>
        </w:rPr>
      </w:pPr>
      <w:bookmarkStart w:id="11" w:name="_Toc3551"/>
      <w:bookmarkStart w:id="12" w:name="_Toc17258"/>
      <w:bookmarkStart w:id="13" w:name="_Toc3544"/>
      <w:r>
        <w:rPr>
          <w:rFonts w:hint="eastAsia" w:ascii="宋体" w:hAnsi="宋体" w:cs="宋体"/>
          <w:b/>
          <w:bCs/>
          <w:color w:val="auto"/>
          <w:sz w:val="24"/>
          <w:szCs w:val="24"/>
          <w:highlight w:val="none"/>
          <w:u w:val="none" w:color="auto"/>
        </w:rPr>
        <w:t>附件二廉政合同</w:t>
      </w:r>
      <w:bookmarkEnd w:id="11"/>
      <w:bookmarkEnd w:id="12"/>
      <w:bookmarkEnd w:id="13"/>
    </w:p>
    <w:p>
      <w:pPr>
        <w:rPr>
          <w:rFonts w:hint="eastAsia"/>
          <w:color w:val="auto"/>
        </w:rPr>
      </w:pPr>
    </w:p>
    <w:p>
      <w:pPr>
        <w:spacing w:before="120" w:after="120"/>
        <w:jc w:val="center"/>
        <w:rPr>
          <w:rFonts w:hint="eastAsia" w:ascii="宋体" w:hAnsi="宋体" w:cs="宋体"/>
          <w:b/>
          <w:color w:val="auto"/>
          <w:sz w:val="32"/>
          <w:szCs w:val="32"/>
          <w:highlight w:val="none"/>
        </w:rPr>
      </w:pPr>
      <w:r>
        <w:rPr>
          <w:rFonts w:hint="eastAsia" w:ascii="宋体" w:hAnsi="宋体" w:cs="宋体"/>
          <w:b/>
          <w:color w:val="auto"/>
          <w:sz w:val="32"/>
          <w:szCs w:val="32"/>
          <w:highlight w:val="none"/>
        </w:rPr>
        <w:t>廉政合同</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根据《关于在交通基础设施建设中加强廉政建设的若干意见》以及有关工程建设、廉政建设的规定，为做好工程建设中的党风廉政建设，保证工程建设高效优质，保证建设资金的安全和有效使用以及投资效益，（项目名称）项目法人（项目法人名称，以下简称“发包人”）与该项目标段的施工单位（施工单位名称，以下简称“承包人”），特订立如下合同。</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1．发包人和承包人双方的权利和义务</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（1）严格遵守党的政策规定和国家有关法律法规及交通运输部的有关规定。</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（2）严格执行</w:t>
      </w:r>
      <w:r>
        <w:rPr>
          <w:rFonts w:hint="eastAsia" w:ascii="宋体" w:hAnsi="宋体" w:cs="宋体"/>
          <w:color w:val="auto"/>
          <w:sz w:val="24"/>
          <w:highlight w:val="none"/>
          <w:u w:val="single"/>
        </w:rPr>
        <w:t>（项目名称）</w:t>
      </w:r>
      <w:r>
        <w:rPr>
          <w:rFonts w:hint="eastAsia" w:ascii="宋体" w:hAnsi="宋体" w:cs="宋体"/>
          <w:color w:val="auto"/>
          <w:sz w:val="24"/>
          <w:highlight w:val="none"/>
        </w:rPr>
        <w:t>合同文件，自觉按合同办事。</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（3）双方的业务活动坚持公开、公正、诚信、透明的原则（法律认定的商业秘密和合同文件另有规定除外），不得损害国家和集体利益，不得违反工程建设管理规章制度。</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（4）建立健全廉政制度，开展廉政教育，设立廉政告示牌，公布举报电话，监督并认真查处违法违纪行为。</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（5）发现对方在业务活动中有违反廉政规定的行为，有及时提醒对方纠正的权利和义务。</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（6）发现对方严重违反本合同义务条款的行为，有向其上级有关部门举报、建议给予处理并要求告知处理结果的权利。</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2．发包人的义务</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（1）发包人及其工作人员不得索要或接受承包人的礼金、有价证券和贵重物品，不得让承包人报销任何应由发包人或发包人工作人员个人支付的费用等。</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（2）发包人工作人员不得参加承包人安排的超标准宴请和娱乐活动；不得接受承包人提供的通讯工具、交通工具和高档办公用品等。</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（3）发包人及其工作人员不得要求或者接受承包人为其住房装修、婚丧嫁娶活动、配偶子女的工作安排以及出国出境、旅游等提供方便等。</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（4）发包人工作人员及其配偶、子女不得从事与发包人工作有关的材料设备供应、工程分包、劳务等经济活动等。</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（5）发包人及期工作人员不得以任何理由向承包人推荐分包单位或推销材料，不得要求承包人购买合同规定外的材料和设备。</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（6）发包人工作人员要秉公办事，不准营私舞弊，不准利用职权从事各种个人有偿中介活动和安排个人施工队伍。</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3．承包人的义务</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（1）承包人不得以任何理由向发包人及其工作人员行贿或馈赠礼金、有价证券、贵重礼品。</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（2）承包人不得以任何名义为发包人及其工作人员报销应由发包人单位或个人支付的任何费用。</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（3）承包人不得以任何理由安排发包人工作人员参加超标准宴请及娱乐活动。</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（4）承包人不得为发包人单位和个人购置或提供通讯工具、交通工具和高档办公用品等。</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4．违约责任</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（1）发包人及其工作人员违反本合同第1、2条，按管理权限，依据有关规定给予党纪、政纪或组织处理；涉嫌犯罪的，移交司法机关追究刑事责任；给承包人单位造成经济损失的，应予以赔偿。</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承包人及其工作人员违反本合同第1、3条，按管理权限，依据有关规定给予党纪、政纪或组织处理；给发包人单位造成经济损失的，应予以赔偿；情节严重的，发包人建议交通运输主管部门给予承包人一至三年内不得进入其主管的公路建设市场的处罚。</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双方约定：本合同由双方或双方上级单位的纪检监察部门负责监督执行。由发包人或发包人上级单位的纪检监察部门约请承包人或承包人上级单位纪检监察部门对本合同执行情况进行检查，提出在本合同规定范围内的裁定意见。</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6.本合同有效期为发包人和承包人签署之日起至该工程项目竣工验收后止。</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7.本合同作为</w:t>
      </w:r>
      <w:r>
        <w:rPr>
          <w:rFonts w:hint="eastAsia" w:ascii="宋体" w:hAnsi="宋体" w:cs="宋体"/>
          <w:color w:val="auto"/>
          <w:sz w:val="24"/>
          <w:highlight w:val="none"/>
          <w:u w:val="single"/>
        </w:rPr>
        <w:t>（项目名称）</w:t>
      </w:r>
      <w:r>
        <w:rPr>
          <w:rFonts w:hint="eastAsia" w:ascii="宋体" w:hAnsi="宋体" w:cs="宋体"/>
          <w:color w:val="auto"/>
          <w:sz w:val="24"/>
          <w:highlight w:val="none"/>
        </w:rPr>
        <w:t>合同的附件，与工程施工合同具有同等的法律效力，经合同双方签署后立即生效。</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8.本合同一式四份，由发包人和承包人各执—份，送交发包人和承包人的监督单位各一份</w:t>
      </w:r>
    </w:p>
    <w:p>
      <w:pPr>
        <w:spacing w:line="400" w:lineRule="exact"/>
        <w:rPr>
          <w:rFonts w:hint="eastAsia" w:ascii="宋体" w:hAnsi="宋体" w:cs="宋体"/>
          <w:color w:val="auto"/>
          <w:sz w:val="24"/>
          <w:highlight w:val="none"/>
        </w:rPr>
      </w:pPr>
    </w:p>
    <w:p>
      <w:pPr>
        <w:spacing w:line="40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发包人：（盖单位章）承包人：（盖单位章）</w:t>
      </w:r>
    </w:p>
    <w:p>
      <w:pPr>
        <w:spacing w:line="400" w:lineRule="exact"/>
        <w:rPr>
          <w:rFonts w:hint="eastAsia" w:ascii="宋体" w:hAnsi="宋体" w:cs="宋体"/>
          <w:color w:val="auto"/>
          <w:sz w:val="24"/>
          <w:highlight w:val="none"/>
        </w:rPr>
      </w:pPr>
      <w:r>
        <w:rPr>
          <w:rFonts w:hint="eastAsia" w:ascii="宋体" w:hAnsi="宋体" w:cs="宋体"/>
          <w:color w:val="auto"/>
          <w:sz w:val="24"/>
          <w:highlight w:val="none"/>
        </w:rPr>
        <w:t>法定代表人或其委托代理人：（签字）法定代表人或其委托代理人：（签字）</w:t>
      </w:r>
    </w:p>
    <w:p>
      <w:pPr>
        <w:spacing w:line="400" w:lineRule="exact"/>
        <w:ind w:firstLine="840"/>
        <w:rPr>
          <w:rFonts w:hint="eastAsia" w:ascii="宋体" w:hAnsi="宋体" w:cs="宋体"/>
          <w:color w:val="auto"/>
          <w:sz w:val="24"/>
          <w:highlight w:val="none"/>
        </w:rPr>
      </w:pPr>
      <w:r>
        <w:rPr>
          <w:rFonts w:hint="eastAsia" w:ascii="宋体" w:hAnsi="宋体" w:cs="宋体"/>
          <w:color w:val="auto"/>
          <w:sz w:val="24"/>
          <w:highlight w:val="none"/>
        </w:rPr>
        <w:t>年月日年月日</w:t>
      </w:r>
    </w:p>
    <w:p>
      <w:pPr>
        <w:spacing w:line="600" w:lineRule="exact"/>
        <w:rPr>
          <w:rFonts w:hint="eastAsia" w:ascii="宋体" w:hAnsi="宋体"/>
          <w:color w:val="auto"/>
          <w:sz w:val="24"/>
        </w:rPr>
      </w:pPr>
      <w:r>
        <w:rPr>
          <w:rFonts w:hint="eastAsia" w:ascii="宋体" w:hAnsi="宋体" w:cs="宋体"/>
          <w:color w:val="auto"/>
          <w:sz w:val="24"/>
          <w:highlight w:val="none"/>
        </w:rPr>
        <w:t>发包人监督单位：</w:t>
      </w:r>
      <w:r>
        <w:rPr>
          <w:rFonts w:hint="eastAsia" w:ascii="宋体" w:hAnsi="宋体" w:cs="宋体"/>
          <w:color w:val="auto"/>
          <w:sz w:val="24"/>
          <w:highlight w:val="none"/>
          <w:u w:val="single"/>
        </w:rPr>
        <w:t>（全称）（盖单位章）</w:t>
      </w:r>
      <w:r>
        <w:rPr>
          <w:rFonts w:hint="eastAsia" w:ascii="宋体" w:hAnsi="宋体" w:cs="宋体"/>
          <w:color w:val="auto"/>
          <w:sz w:val="24"/>
          <w:highlight w:val="none"/>
        </w:rPr>
        <w:t>承包人监督单位：</w:t>
      </w:r>
      <w:r>
        <w:rPr>
          <w:rFonts w:hint="eastAsia" w:ascii="宋体" w:hAnsi="宋体" w:cs="宋体"/>
          <w:color w:val="auto"/>
          <w:sz w:val="24"/>
          <w:highlight w:val="none"/>
          <w:u w:val="single"/>
        </w:rPr>
        <w:t>（全称）（盖单位章）</w:t>
      </w:r>
    </w:p>
    <w:p>
      <w:pPr>
        <w:rPr>
          <w:rFonts w:ascii="Times New Roman" w:hAnsi="Times New Roman" w:eastAsia="Times New Roman"/>
          <w:color w:val="auto"/>
          <w:sz w:val="1"/>
        </w:rPr>
        <w:sectPr>
          <w:footerReference r:id="rId26" w:type="default"/>
          <w:pgSz w:w="11911" w:h="16838"/>
          <w:pgMar w:top="1247" w:right="1134" w:bottom="1247" w:left="1134" w:header="737" w:footer="850" w:gutter="0"/>
          <w:pgNumType w:fmt="numberInDash"/>
          <w:cols w:space="0" w:num="1"/>
          <w:rtlGutter w:val="0"/>
          <w:docGrid w:linePitch="360" w:charSpace="0"/>
        </w:sectPr>
      </w:pPr>
    </w:p>
    <w:p>
      <w:pPr>
        <w:pStyle w:val="43"/>
        <w:spacing w:line="360" w:lineRule="auto"/>
        <w:ind w:left="0" w:leftChars="0" w:firstLine="0" w:firstLineChars="0"/>
        <w:jc w:val="both"/>
        <w:rPr>
          <w:rFonts w:hint="eastAsia" w:ascii="宋体" w:hAnsi="宋体" w:cs="宋体"/>
          <w:b/>
          <w:bCs/>
          <w:color w:val="auto"/>
          <w:sz w:val="24"/>
          <w:szCs w:val="24"/>
          <w:highlight w:val="none"/>
          <w:u w:val="none" w:color="auto"/>
        </w:rPr>
      </w:pPr>
      <w:bookmarkStart w:id="14" w:name="_Toc12277"/>
      <w:bookmarkStart w:id="15" w:name="_Toc30177"/>
      <w:bookmarkStart w:id="16" w:name="_Toc18912"/>
      <w:r>
        <w:rPr>
          <w:rFonts w:hint="eastAsia" w:ascii="宋体" w:hAnsi="宋体" w:cs="宋体"/>
          <w:b/>
          <w:bCs/>
          <w:color w:val="auto"/>
          <w:sz w:val="24"/>
          <w:szCs w:val="24"/>
          <w:highlight w:val="none"/>
          <w:u w:val="none" w:color="auto"/>
        </w:rPr>
        <w:t>附件三安全生产合同</w:t>
      </w:r>
      <w:bookmarkEnd w:id="14"/>
      <w:bookmarkEnd w:id="15"/>
      <w:bookmarkEnd w:id="16"/>
    </w:p>
    <w:p>
      <w:pPr>
        <w:spacing w:before="120" w:after="120"/>
        <w:jc w:val="center"/>
        <w:rPr>
          <w:rFonts w:hint="eastAsia" w:ascii="宋体" w:hAnsi="宋体" w:cs="宋体"/>
          <w:b/>
          <w:color w:val="auto"/>
          <w:sz w:val="32"/>
          <w:szCs w:val="32"/>
          <w:highlight w:val="none"/>
        </w:rPr>
      </w:pPr>
      <w:r>
        <w:rPr>
          <w:rFonts w:hint="eastAsia" w:ascii="宋体" w:hAnsi="宋体" w:cs="宋体"/>
          <w:b/>
          <w:color w:val="auto"/>
          <w:sz w:val="32"/>
          <w:szCs w:val="32"/>
          <w:highlight w:val="none"/>
        </w:rPr>
        <w:t>安全生产合同</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为在</w:t>
      </w:r>
      <w:r>
        <w:rPr>
          <w:rFonts w:hint="eastAsia" w:ascii="宋体" w:hAnsi="宋体" w:cs="宋体"/>
          <w:color w:val="auto"/>
          <w:sz w:val="24"/>
          <w:highlight w:val="none"/>
          <w:u w:val="single"/>
        </w:rPr>
        <w:t>（项目名称）</w:t>
      </w:r>
      <w:r>
        <w:rPr>
          <w:rFonts w:hint="eastAsia" w:ascii="宋体" w:hAnsi="宋体" w:cs="宋体"/>
          <w:color w:val="auto"/>
          <w:sz w:val="24"/>
          <w:highlight w:val="none"/>
        </w:rPr>
        <w:t>施工合同的实施过程中创造安全、高效的施工环境，切实搞好本项目的安全管理工作，本项目发包人（发包人名称，以下简称“发包人”）与承包人（承包人名称，以下简称“承包人”）特此签订安全生产合同：</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1.发包人职责</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（1）严格遵守国家有关安全生产的法律法规，认真执行工程承包合同中的有关安全要求。</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（2）按照“安全第一、预防为主”和坚持“管生产必须管安全”的原则进行安全生产管理，做到生产与安全工作同时计划、布置、检查、总结和评比。</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（3）重要的安全设施必须坚持与主体工程“三同时”的原则，即：同时设计、审批，同时施工，同时验收，投入使用。</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（4）定期召开安全生产调度会，及时传达中央及地方有关安全生产的精神。</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（5）组织对承包人施工现场安全生产检查，监督承包人及时处理发现的各种安全隐患。</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2.承包人职责</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严格遵守《中华人民共和国安全生产法》、《建设工程安全生产管理条例》等国家有关安全生产的法律法规、《公路水运工程安全生产监督管理办法》、《公路工程施工安全技术规范》等有关安全生产的规定。认真执行工程承包合同中的有关安全要求。</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合同的各项规定，做到生产与安全工作同时计划、布置、检查、总结和评比。</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建立健全安全生产责任制。从派往项目实施的项目经理到生产工人（包括临时雇请的民工）的安全生产管理系统必须做到纵向到底，—环不漏；各职能部门、人员的安全生产责任制做到横向到边，人人有责。项目经理是安全生产的第一责任人。现场设置的安全机构，应按《公路水运工程安全生产监督管理办法》规定的最低数量和资质条件配备专职安全生产管理人员，专职负责所有员工的安全和治安保卫工作及预防事故的发生。安全机构人员有权按有关规定发布指令，并采取保护性措施防止事故发生。</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（4）承包人在任何时候都应采取各种合理的预防措施，防止其员工发生任何违法、违禁、暴力或妨碍治安的行为。</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承包人必须具有劳动安全管理部门颁发的安全生产考核合格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6）对于易燃易爆的材料除应专门妥善保管之外，还应配备有足够的消防设施，所有施工人员都应熟悉消防设备的性能和使用方法；承包人不得将任何种类的爆炸物给予、易货或以其他方式转让给任何其他人，或允许、容忍上述同样行为。</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（7）操作人员上岗，必须按规定穿戴防护用品。施工负责人和安全检查员应随时检查劳动防护用品的穿戴情况，不按规定穿戴防护用品的人员不得上岗。</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（8）所有施工机具设备和高空作业的设备均应定期检查，并有安全员的签字记录，保证其经常处于完好状态；不合格的机具、设备和劳动保护用品严禁使用。</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（9）施工中采用新技术、新工艺、新设备、新材料时，必须制定相应的安全技术措施，施工现场必须具有相关的安全标志牌。</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10）承包人必须按照本工程项目特点，组织制定本工程实施中的生产安全事故应急救援预案；如果发生安全事故，应按照《国务院关于特大安全事故行政责任追究的规定》以及其他有关规定，及时上报有关部门，并坚持“四不放过”的原则，严肃处理相关责任人。</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（11）安全生产费用按照《公路水运工程安全生产监督管理办法》的相关规定使用和管理。</w:t>
      </w:r>
    </w:p>
    <w:p>
      <w:pPr>
        <w:spacing w:line="400" w:lineRule="exact"/>
        <w:ind w:firstLine="482" w:firstLineChars="200"/>
        <w:rPr>
          <w:rFonts w:hint="eastAsia" w:ascii="宋体" w:hAnsi="宋体" w:cs="宋体"/>
          <w:b/>
          <w:color w:val="auto"/>
          <w:sz w:val="24"/>
          <w:highlight w:val="none"/>
        </w:rPr>
      </w:pPr>
      <w:r>
        <w:rPr>
          <w:rFonts w:hint="eastAsia" w:ascii="宋体" w:hAnsi="宋体" w:cs="宋体"/>
          <w:b/>
          <w:color w:val="auto"/>
          <w:sz w:val="24"/>
          <w:highlight w:val="none"/>
        </w:rPr>
        <w:t>3.违约责任</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如因发包人或承包人违约造成安全事故，将依法追究责任。</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4.本合同由双方法定代表人或其授权的代理人签署并加盖单位章后生效，全部工程竣工验收后失效。</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5.本合同正本二份，副本份，合同双方各执正本—份，副本份，当正本与副本的内容不一致时，以正本为准。</w:t>
      </w:r>
    </w:p>
    <w:p>
      <w:pPr>
        <w:rPr>
          <w:rFonts w:hint="eastAsia" w:ascii="宋体" w:hAnsi="宋体" w:cs="宋体"/>
          <w:color w:val="auto"/>
          <w:sz w:val="24"/>
          <w:highlight w:val="none"/>
        </w:rPr>
      </w:pPr>
    </w:p>
    <w:p>
      <w:pPr>
        <w:spacing w:line="40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发包人：（盖单位章）承包人：（盖单位章）</w:t>
      </w:r>
    </w:p>
    <w:p>
      <w:pPr>
        <w:spacing w:line="400" w:lineRule="exact"/>
        <w:rPr>
          <w:rFonts w:hint="eastAsia" w:ascii="宋体" w:hAnsi="宋体" w:cs="宋体"/>
          <w:color w:val="auto"/>
          <w:sz w:val="24"/>
          <w:highlight w:val="none"/>
        </w:rPr>
      </w:pPr>
      <w:r>
        <w:rPr>
          <w:rFonts w:hint="eastAsia" w:ascii="宋体" w:hAnsi="宋体" w:cs="宋体"/>
          <w:color w:val="auto"/>
          <w:sz w:val="24"/>
          <w:highlight w:val="none"/>
        </w:rPr>
        <w:t>法定</w:t>
      </w:r>
      <w:r>
        <w:rPr>
          <w:rFonts w:hint="eastAsia" w:ascii="宋体" w:hAnsi="宋体" w:cs="宋体"/>
          <w:color w:val="auto"/>
          <w:sz w:val="24"/>
          <w:highlight w:val="none"/>
          <w:u w:val="none"/>
        </w:rPr>
        <w:t>代表人或其委托代理人：（签字）法定代表人或其委托代理人：（签字）</w:t>
      </w:r>
    </w:p>
    <w:p>
      <w:pPr>
        <w:spacing w:line="20" w:lineRule="exact"/>
        <w:rPr>
          <w:rFonts w:hint="eastAsia" w:ascii="宋体" w:hAnsi="宋体" w:eastAsia="宋体" w:cs="宋体"/>
          <w:color w:val="auto"/>
          <w:sz w:val="24"/>
          <w:highlight w:val="none"/>
          <w:lang w:eastAsia="zh-CN"/>
        </w:rPr>
      </w:pPr>
    </w:p>
    <w:p>
      <w:pPr>
        <w:ind w:firstLine="1920" w:firstLineChars="800"/>
        <w:rPr>
          <w:rFonts w:hint="eastAsia" w:ascii="宋体" w:hAnsi="宋体" w:cs="宋体"/>
          <w:color w:val="auto"/>
          <w:sz w:val="24"/>
          <w:highlight w:val="none"/>
        </w:rPr>
      </w:pPr>
      <w:r>
        <w:rPr>
          <w:rFonts w:hint="eastAsia" w:ascii="宋体" w:hAnsi="宋体" w:cs="宋体"/>
          <w:color w:val="auto"/>
          <w:sz w:val="24"/>
          <w:highlight w:val="none"/>
        </w:rPr>
        <w:t>年月日年月日</w:t>
      </w:r>
    </w:p>
    <w:p>
      <w:pPr>
        <w:pStyle w:val="29"/>
        <w:rPr>
          <w:color w:val="auto"/>
        </w:rPr>
      </w:pPr>
    </w:p>
    <w:p>
      <w:pPr>
        <w:rPr>
          <w:b/>
          <w:bCs/>
          <w:color w:val="auto"/>
          <w:sz w:val="24"/>
        </w:rPr>
      </w:pPr>
      <w:r>
        <w:rPr>
          <w:b/>
          <w:bCs/>
          <w:color w:val="auto"/>
          <w:sz w:val="24"/>
        </w:rPr>
        <w:br w:type="page"/>
      </w:r>
    </w:p>
    <w:p>
      <w:pPr>
        <w:spacing w:line="364" w:lineRule="auto"/>
        <w:rPr>
          <w:b/>
          <w:bCs/>
          <w:color w:val="auto"/>
          <w:sz w:val="24"/>
        </w:rPr>
      </w:pPr>
      <w:r>
        <w:rPr>
          <w:b/>
          <w:bCs/>
          <w:color w:val="auto"/>
          <w:sz w:val="24"/>
        </w:rPr>
        <w:t>附件四：项目经理委任书</w:t>
      </w:r>
    </w:p>
    <w:p>
      <w:pPr>
        <w:spacing w:line="364" w:lineRule="auto"/>
        <w:ind w:left="721"/>
        <w:rPr>
          <w:color w:val="auto"/>
          <w:sz w:val="24"/>
        </w:rPr>
      </w:pPr>
    </w:p>
    <w:p>
      <w:pPr>
        <w:spacing w:line="380" w:lineRule="exact"/>
        <w:ind w:firstLine="3985" w:firstLineChars="1654"/>
        <w:rPr>
          <w:rFonts w:hint="eastAsia" w:ascii="宋体" w:hAnsi="宋体" w:eastAsia="宋体"/>
          <w:b/>
          <w:color w:val="auto"/>
          <w:sz w:val="24"/>
          <w:lang w:eastAsia="zh-CN"/>
        </w:rPr>
      </w:pPr>
      <w:r>
        <w:rPr>
          <w:rFonts w:hint="eastAsia" w:ascii="宋体" w:hAnsi="宋体"/>
          <w:b/>
          <w:color w:val="auto"/>
          <w:sz w:val="24"/>
          <w:u w:val="single"/>
        </w:rPr>
        <w:t>（承包人全称）</w:t>
      </w:r>
    </w:p>
    <w:p>
      <w:pPr>
        <w:spacing w:line="380" w:lineRule="exact"/>
        <w:rPr>
          <w:rFonts w:hint="eastAsia" w:ascii="宋体" w:hAnsi="宋体"/>
          <w:b/>
          <w:color w:val="auto"/>
          <w:sz w:val="24"/>
        </w:rPr>
      </w:pPr>
      <w:r>
        <w:rPr>
          <w:rFonts w:hint="eastAsia" w:ascii="宋体" w:hAnsi="宋体"/>
          <w:b/>
          <w:color w:val="auto"/>
          <w:sz w:val="24"/>
          <w:u w:val="single"/>
        </w:rPr>
        <w:t>（合同工程名称）</w:t>
      </w:r>
      <w:r>
        <w:rPr>
          <w:rFonts w:hint="eastAsia" w:ascii="宋体" w:hAnsi="宋体"/>
          <w:b/>
          <w:color w:val="auto"/>
          <w:sz w:val="24"/>
        </w:rPr>
        <w:t>项目经理委任书</w:t>
      </w:r>
    </w:p>
    <w:p>
      <w:pPr>
        <w:spacing w:line="380" w:lineRule="exact"/>
        <w:rPr>
          <w:rFonts w:hint="eastAsia" w:ascii="宋体" w:hAnsi="宋体"/>
          <w:b/>
          <w:color w:val="auto"/>
          <w:sz w:val="24"/>
        </w:rPr>
      </w:pPr>
    </w:p>
    <w:p>
      <w:pPr>
        <w:spacing w:line="380" w:lineRule="exact"/>
        <w:rPr>
          <w:rFonts w:hint="eastAsia" w:ascii="宋体" w:hAnsi="宋体"/>
          <w:color w:val="auto"/>
          <w:sz w:val="24"/>
          <w:u w:val="single"/>
        </w:rPr>
      </w:pPr>
      <w:r>
        <w:rPr>
          <w:rFonts w:hint="eastAsia" w:ascii="宋体" w:hAnsi="宋体"/>
          <w:color w:val="auto"/>
          <w:sz w:val="24"/>
        </w:rPr>
        <w:t>致：</w:t>
      </w:r>
      <w:r>
        <w:rPr>
          <w:rFonts w:hint="eastAsia" w:ascii="宋体" w:hAnsi="宋体"/>
          <w:color w:val="auto"/>
          <w:sz w:val="24"/>
          <w:u w:val="single"/>
        </w:rPr>
        <w:t>（发包人全称）</w:t>
      </w:r>
    </w:p>
    <w:p>
      <w:pPr>
        <w:spacing w:line="380" w:lineRule="exact"/>
        <w:ind w:firstLine="480"/>
        <w:rPr>
          <w:rFonts w:hint="eastAsia" w:ascii="宋体" w:hAnsi="宋体"/>
          <w:color w:val="auto"/>
          <w:sz w:val="24"/>
        </w:rPr>
      </w:pPr>
      <w:r>
        <w:rPr>
          <w:rFonts w:hint="eastAsia" w:ascii="宋体" w:hAnsi="宋体"/>
          <w:color w:val="auto"/>
          <w:sz w:val="24"/>
          <w:u w:val="single"/>
        </w:rPr>
        <w:t>（承包人全称）</w:t>
      </w:r>
      <w:r>
        <w:rPr>
          <w:rFonts w:hint="eastAsia" w:ascii="宋体" w:hAnsi="宋体"/>
          <w:color w:val="auto"/>
          <w:sz w:val="24"/>
        </w:rPr>
        <w:t>法定代表人</w:t>
      </w:r>
      <w:r>
        <w:rPr>
          <w:rFonts w:hint="eastAsia" w:ascii="宋体" w:hAnsi="宋体"/>
          <w:color w:val="auto"/>
          <w:sz w:val="24"/>
          <w:u w:val="single"/>
        </w:rPr>
        <w:t>（职务、姓名）</w:t>
      </w:r>
      <w:r>
        <w:rPr>
          <w:rFonts w:hint="eastAsia" w:ascii="宋体" w:hAnsi="宋体"/>
          <w:color w:val="auto"/>
          <w:sz w:val="24"/>
        </w:rPr>
        <w:t>代表本单位委任</w:t>
      </w:r>
      <w:r>
        <w:rPr>
          <w:rFonts w:hint="eastAsia" w:ascii="宋体" w:hAnsi="宋体"/>
          <w:color w:val="auto"/>
          <w:sz w:val="24"/>
          <w:u w:val="single"/>
        </w:rPr>
        <w:t>（职务、姓名）</w:t>
      </w:r>
      <w:r>
        <w:rPr>
          <w:rFonts w:hint="eastAsia" w:ascii="宋体" w:hAnsi="宋体"/>
          <w:color w:val="auto"/>
          <w:sz w:val="24"/>
        </w:rPr>
        <w:t>为</w:t>
      </w:r>
      <w:r>
        <w:rPr>
          <w:rFonts w:hint="eastAsia" w:ascii="宋体" w:hAnsi="宋体"/>
          <w:color w:val="auto"/>
          <w:sz w:val="24"/>
          <w:u w:val="single"/>
        </w:rPr>
        <w:t>（合同工程名称）</w:t>
      </w:r>
      <w:r>
        <w:rPr>
          <w:rFonts w:hint="eastAsia" w:ascii="宋体" w:hAnsi="宋体"/>
          <w:color w:val="auto"/>
          <w:sz w:val="24"/>
        </w:rPr>
        <w:t>的项目经理。凡本合同执行中的有关技术、工程进度、现场管理、质量检验、算与支付等方面工作，由</w:t>
      </w:r>
      <w:r>
        <w:rPr>
          <w:rFonts w:hint="eastAsia" w:ascii="宋体" w:hAnsi="宋体"/>
          <w:color w:val="auto"/>
          <w:sz w:val="24"/>
          <w:u w:val="single"/>
        </w:rPr>
        <w:t>(姓名)</w:t>
      </w:r>
      <w:r>
        <w:rPr>
          <w:rFonts w:hint="eastAsia" w:ascii="宋体" w:hAnsi="宋体"/>
          <w:color w:val="auto"/>
          <w:sz w:val="24"/>
        </w:rPr>
        <w:t>代表本单位全面负责。</w:t>
      </w:r>
    </w:p>
    <w:p>
      <w:pPr>
        <w:spacing w:line="380" w:lineRule="exact"/>
        <w:ind w:firstLine="480"/>
        <w:rPr>
          <w:rFonts w:hint="eastAsia" w:ascii="宋体" w:hAnsi="宋体"/>
          <w:color w:val="auto"/>
          <w:sz w:val="24"/>
        </w:rPr>
      </w:pPr>
    </w:p>
    <w:p>
      <w:pPr>
        <w:spacing w:line="380" w:lineRule="exact"/>
        <w:ind w:firstLine="480"/>
        <w:rPr>
          <w:rFonts w:hint="eastAsia" w:ascii="宋体" w:hAnsi="宋体"/>
          <w:color w:val="auto"/>
          <w:sz w:val="24"/>
        </w:rPr>
      </w:pPr>
    </w:p>
    <w:p>
      <w:pPr>
        <w:spacing w:line="380" w:lineRule="exact"/>
        <w:ind w:firstLine="480"/>
        <w:rPr>
          <w:rFonts w:hint="eastAsia" w:ascii="宋体" w:hAnsi="宋体"/>
          <w:b/>
          <w:color w:val="auto"/>
          <w:sz w:val="24"/>
        </w:rPr>
      </w:pPr>
      <w:r>
        <w:rPr>
          <w:rFonts w:hint="eastAsia" w:ascii="宋体" w:hAnsi="宋体"/>
          <w:color w:val="auto"/>
          <w:sz w:val="24"/>
        </w:rPr>
        <w:t>承包人：（盖单位章）</w:t>
      </w:r>
    </w:p>
    <w:p>
      <w:pPr>
        <w:spacing w:line="380" w:lineRule="exact"/>
        <w:rPr>
          <w:rFonts w:hint="eastAsia" w:ascii="宋体" w:hAnsi="宋体" w:eastAsia="宋体"/>
          <w:color w:val="auto"/>
          <w:sz w:val="24"/>
          <w:u w:val="single"/>
          <w:lang w:eastAsia="zh-CN"/>
        </w:rPr>
      </w:pPr>
      <w:r>
        <w:rPr>
          <w:rFonts w:hint="eastAsia" w:ascii="宋体" w:hAnsi="宋体"/>
          <w:color w:val="auto"/>
          <w:sz w:val="24"/>
        </w:rPr>
        <w:t>法定代表人:</w:t>
      </w:r>
      <w:r>
        <w:rPr>
          <w:rFonts w:hint="eastAsia" w:ascii="宋体" w:hAnsi="宋体"/>
          <w:color w:val="auto"/>
          <w:sz w:val="24"/>
          <w:u w:val="single"/>
        </w:rPr>
        <w:t>(职务)</w:t>
      </w:r>
    </w:p>
    <w:p>
      <w:pPr>
        <w:spacing w:line="380" w:lineRule="exact"/>
        <w:rPr>
          <w:rFonts w:hint="eastAsia" w:ascii="宋体" w:hAnsi="宋体" w:eastAsia="宋体"/>
          <w:b/>
          <w:color w:val="auto"/>
          <w:sz w:val="24"/>
          <w:u w:val="single"/>
          <w:lang w:eastAsia="zh-CN"/>
        </w:rPr>
      </w:pPr>
      <w:r>
        <w:rPr>
          <w:rFonts w:hint="eastAsia" w:ascii="宋体" w:hAnsi="宋体"/>
          <w:color w:val="auto"/>
          <w:sz w:val="24"/>
          <w:u w:val="single"/>
        </w:rPr>
        <w:t>（姓名）</w:t>
      </w:r>
    </w:p>
    <w:p>
      <w:pPr>
        <w:spacing w:line="380" w:lineRule="exact"/>
        <w:rPr>
          <w:rFonts w:hint="eastAsia" w:ascii="宋体" w:hAnsi="宋体" w:eastAsia="宋体"/>
          <w:b/>
          <w:color w:val="auto"/>
          <w:sz w:val="24"/>
          <w:lang w:eastAsia="zh-CN"/>
        </w:rPr>
      </w:pPr>
      <w:r>
        <w:rPr>
          <w:rFonts w:hint="eastAsia" w:ascii="宋体" w:hAnsi="宋体"/>
          <w:color w:val="auto"/>
          <w:sz w:val="24"/>
          <w:u w:val="single"/>
        </w:rPr>
        <w:t>(签字)</w:t>
      </w:r>
    </w:p>
    <w:p>
      <w:pPr>
        <w:spacing w:line="380" w:lineRule="exact"/>
        <w:rPr>
          <w:rFonts w:hint="eastAsia" w:ascii="宋体" w:hAnsi="宋体"/>
          <w:b/>
          <w:color w:val="auto"/>
          <w:sz w:val="24"/>
        </w:rPr>
      </w:pPr>
    </w:p>
    <w:p>
      <w:pPr>
        <w:spacing w:line="380" w:lineRule="exact"/>
        <w:rPr>
          <w:rFonts w:hint="eastAsia" w:ascii="宋体" w:hAnsi="宋体"/>
          <w:color w:val="auto"/>
          <w:sz w:val="24"/>
        </w:rPr>
      </w:pPr>
      <w:r>
        <w:rPr>
          <w:rFonts w:hint="eastAsia" w:ascii="宋体" w:hAnsi="宋体"/>
          <w:color w:val="auto"/>
          <w:sz w:val="24"/>
        </w:rPr>
        <w:t>年月日</w:t>
      </w:r>
    </w:p>
    <w:p>
      <w:pPr>
        <w:spacing w:line="380" w:lineRule="exact"/>
        <w:rPr>
          <w:rFonts w:hint="eastAsia" w:ascii="宋体" w:hAnsi="宋体"/>
          <w:b/>
          <w:color w:val="auto"/>
          <w:sz w:val="24"/>
        </w:rPr>
      </w:pPr>
    </w:p>
    <w:p>
      <w:pPr>
        <w:spacing w:line="380" w:lineRule="exact"/>
        <w:rPr>
          <w:rFonts w:hint="eastAsia" w:ascii="宋体" w:hAnsi="宋体"/>
          <w:b/>
          <w:color w:val="auto"/>
          <w:sz w:val="24"/>
        </w:rPr>
      </w:pPr>
    </w:p>
    <w:p>
      <w:pPr>
        <w:spacing w:line="380" w:lineRule="exact"/>
        <w:rPr>
          <w:rFonts w:hint="eastAsia" w:ascii="宋体" w:hAnsi="宋体"/>
          <w:color w:val="auto"/>
          <w:sz w:val="24"/>
        </w:rPr>
      </w:pPr>
      <w:r>
        <w:rPr>
          <w:rFonts w:hint="eastAsia" w:ascii="宋体" w:hAnsi="宋体"/>
          <w:color w:val="auto"/>
          <w:sz w:val="24"/>
        </w:rPr>
        <w:t>抄送：</w:t>
      </w:r>
      <w:r>
        <w:rPr>
          <w:rFonts w:hint="eastAsia" w:ascii="宋体" w:hAnsi="宋体"/>
          <w:color w:val="auto"/>
          <w:sz w:val="24"/>
          <w:u w:val="single"/>
        </w:rPr>
        <w:t>（监理人）</w:t>
      </w:r>
    </w:p>
    <w:p>
      <w:pPr>
        <w:spacing w:line="200" w:lineRule="exact"/>
        <w:rPr>
          <w:rFonts w:ascii="Times New Roman" w:hAnsi="Times New Roman" w:eastAsia="Times New Roman"/>
          <w:color w:val="auto"/>
        </w:rPr>
      </w:pPr>
    </w:p>
    <w:p>
      <w:pPr>
        <w:rPr>
          <w:rFonts w:ascii="Times New Roman" w:hAnsi="Times New Roman" w:eastAsia="Times New Roman"/>
          <w:color w:val="auto"/>
        </w:rPr>
      </w:pPr>
      <w:r>
        <w:rPr>
          <w:rFonts w:ascii="Times New Roman" w:hAnsi="Times New Roman" w:eastAsia="Times New Roman"/>
          <w:color w:val="auto"/>
        </w:rPr>
        <w:br w:type="page"/>
      </w:r>
    </w:p>
    <w:p>
      <w:pPr>
        <w:tabs>
          <w:tab w:val="left" w:pos="9020"/>
        </w:tabs>
        <w:spacing w:line="364" w:lineRule="auto"/>
        <w:ind w:right="220"/>
        <w:rPr>
          <w:b/>
          <w:bCs/>
          <w:color w:val="auto"/>
          <w:sz w:val="24"/>
        </w:rPr>
      </w:pPr>
      <w:r>
        <w:rPr>
          <w:b/>
          <w:bCs/>
          <w:color w:val="auto"/>
          <w:sz w:val="24"/>
        </w:rPr>
        <w:t>附件</w:t>
      </w:r>
      <w:r>
        <w:rPr>
          <w:rFonts w:hint="eastAsia"/>
          <w:b/>
          <w:bCs/>
          <w:color w:val="auto"/>
          <w:sz w:val="24"/>
          <w:lang w:eastAsia="zh-CN"/>
        </w:rPr>
        <w:t>五</w:t>
      </w:r>
      <w:r>
        <w:rPr>
          <w:b/>
          <w:bCs/>
          <w:color w:val="auto"/>
          <w:sz w:val="24"/>
        </w:rPr>
        <w:t>：履约</w:t>
      </w:r>
      <w:r>
        <w:rPr>
          <w:rFonts w:hint="eastAsia"/>
          <w:b/>
          <w:bCs/>
          <w:color w:val="auto"/>
          <w:sz w:val="24"/>
          <w:lang w:val="en-US" w:eastAsia="zh-CN"/>
        </w:rPr>
        <w:t>担保</w:t>
      </w:r>
      <w:r>
        <w:rPr>
          <w:b/>
          <w:bCs/>
          <w:color w:val="auto"/>
          <w:sz w:val="24"/>
        </w:rPr>
        <w:t>格式</w:t>
      </w:r>
    </w:p>
    <w:p>
      <w:pPr>
        <w:spacing w:line="40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如采用银行保函，格式如下。</w:t>
      </w:r>
    </w:p>
    <w:p>
      <w:pPr>
        <w:jc w:val="center"/>
        <w:rPr>
          <w:rFonts w:hint="eastAsia" w:ascii="宋体" w:hAnsi="宋体" w:cs="宋体"/>
          <w:b/>
          <w:color w:val="auto"/>
          <w:sz w:val="28"/>
          <w:szCs w:val="28"/>
          <w:highlight w:val="none"/>
        </w:rPr>
      </w:pPr>
      <w:r>
        <w:rPr>
          <w:rFonts w:hint="eastAsia" w:ascii="宋体" w:hAnsi="宋体" w:cs="宋体"/>
          <w:b/>
          <w:color w:val="auto"/>
          <w:sz w:val="28"/>
          <w:szCs w:val="28"/>
          <w:highlight w:val="none"/>
        </w:rPr>
        <w:t>履约保证金</w:t>
      </w:r>
    </w:p>
    <w:p>
      <w:pPr>
        <w:rPr>
          <w:rFonts w:hint="eastAsia" w:ascii="宋体" w:hAnsi="宋体" w:cs="宋体"/>
          <w:color w:val="auto"/>
          <w:sz w:val="24"/>
          <w:highlight w:val="none"/>
        </w:rPr>
      </w:pPr>
    </w:p>
    <w:p>
      <w:pPr>
        <w:rPr>
          <w:rFonts w:hint="eastAsia" w:ascii="宋体" w:hAnsi="宋体" w:cs="宋体"/>
          <w:color w:val="auto"/>
          <w:sz w:val="24"/>
          <w:highlight w:val="none"/>
        </w:rPr>
      </w:pPr>
      <w:r>
        <w:rPr>
          <w:rFonts w:hint="eastAsia" w:ascii="宋体" w:hAnsi="宋体" w:cs="宋体"/>
          <w:color w:val="auto"/>
          <w:sz w:val="24"/>
          <w:highlight w:val="none"/>
        </w:rPr>
        <w:t>（发包人名称）：</w:t>
      </w:r>
    </w:p>
    <w:p>
      <w:pPr>
        <w:rPr>
          <w:rFonts w:hint="eastAsia" w:ascii="宋体" w:hAnsi="宋体" w:cs="宋体"/>
          <w:color w:val="auto"/>
          <w:sz w:val="24"/>
          <w:highlight w:val="none"/>
        </w:rPr>
      </w:pP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鉴于（发包人名称，以下简称“发包人”）接受（承包人名称）（以下称“承包人”）于年月日参加</w:t>
      </w:r>
      <w:r>
        <w:rPr>
          <w:rFonts w:hint="eastAsia" w:ascii="宋体" w:hAnsi="宋体" w:cs="宋体"/>
          <w:color w:val="auto"/>
          <w:sz w:val="24"/>
          <w:highlight w:val="none"/>
          <w:u w:val="single"/>
        </w:rPr>
        <w:t>（项目名称）</w:t>
      </w:r>
      <w:r>
        <w:rPr>
          <w:rFonts w:hint="eastAsia" w:ascii="宋体" w:hAnsi="宋体" w:cs="宋体"/>
          <w:color w:val="auto"/>
          <w:sz w:val="24"/>
          <w:highlight w:val="none"/>
        </w:rPr>
        <w:t>的投标。我方愿意无条件地、不可撤销地就承包人履行与你方订立的合同，向你方提供担保。</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1.担保金额人民币（大写）元（¥）。</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2.担保有效期自发包人与承包人签订的合同生效之日起至发包人签发交工验收证书且承包人按照合同约定缴纳质量保证金之日止。</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3.在本担保有效期内，因承包人违反合同约定的义务给你方造成经济损失时，我方在收到你方以书面形式提出的在担保金额内的赔偿要求后，在7天内无条件支付，无须你方出具证明或陈述理由。</w:t>
      </w:r>
    </w:p>
    <w:p>
      <w:pPr>
        <w:spacing w:line="40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4.发包人和承包人按合同条款第15条变更合同时，无论我方是否收到该变更，我方承担本担保规定的义务不变。</w:t>
      </w:r>
    </w:p>
    <w:p>
      <w:pPr>
        <w:rPr>
          <w:rFonts w:hint="eastAsia" w:ascii="宋体" w:hAnsi="宋体" w:cs="宋体"/>
          <w:color w:val="auto"/>
          <w:sz w:val="24"/>
          <w:highlight w:val="none"/>
        </w:rPr>
      </w:pPr>
    </w:p>
    <w:p>
      <w:pPr>
        <w:rPr>
          <w:rFonts w:hint="eastAsia" w:ascii="宋体" w:hAnsi="宋体" w:cs="宋体"/>
          <w:color w:val="auto"/>
          <w:sz w:val="24"/>
          <w:highlight w:val="none"/>
        </w:rPr>
      </w:pPr>
    </w:p>
    <w:p>
      <w:pPr>
        <w:rPr>
          <w:rFonts w:hint="eastAsia" w:ascii="宋体" w:hAnsi="宋体" w:cs="宋体"/>
          <w:color w:val="auto"/>
          <w:sz w:val="24"/>
          <w:highlight w:val="none"/>
        </w:rPr>
      </w:pPr>
    </w:p>
    <w:p>
      <w:pPr>
        <w:rPr>
          <w:rFonts w:hint="eastAsia" w:ascii="宋体" w:hAnsi="宋体" w:cs="宋体"/>
          <w:color w:val="auto"/>
          <w:sz w:val="24"/>
          <w:highlight w:val="none"/>
        </w:rPr>
      </w:pPr>
    </w:p>
    <w:p>
      <w:pPr>
        <w:spacing w:line="440" w:lineRule="exact"/>
        <w:rPr>
          <w:rFonts w:hint="eastAsia" w:ascii="宋体" w:hAnsi="宋体" w:cs="宋体"/>
          <w:color w:val="auto"/>
          <w:sz w:val="24"/>
          <w:highlight w:val="none"/>
        </w:rPr>
      </w:pPr>
      <w:r>
        <w:rPr>
          <w:rFonts w:hint="eastAsia" w:ascii="宋体" w:hAnsi="宋体" w:cs="宋体"/>
          <w:color w:val="auto"/>
          <w:sz w:val="24"/>
          <w:highlight w:val="none"/>
        </w:rPr>
        <w:t>担保人：（盖单位章）</w:t>
      </w:r>
    </w:p>
    <w:p>
      <w:pPr>
        <w:spacing w:line="440" w:lineRule="exact"/>
        <w:rPr>
          <w:rFonts w:hint="eastAsia" w:ascii="宋体" w:hAnsi="宋体" w:cs="宋体"/>
          <w:color w:val="auto"/>
          <w:sz w:val="24"/>
          <w:highlight w:val="none"/>
        </w:rPr>
      </w:pPr>
      <w:r>
        <w:rPr>
          <w:rFonts w:hint="eastAsia" w:ascii="宋体" w:hAnsi="宋体" w:cs="宋体"/>
          <w:color w:val="auto"/>
          <w:sz w:val="24"/>
          <w:highlight w:val="none"/>
        </w:rPr>
        <w:t>法定代表人或其委托代理人：（签字）</w:t>
      </w:r>
    </w:p>
    <w:p>
      <w:pPr>
        <w:spacing w:line="44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地址：</w:t>
      </w:r>
    </w:p>
    <w:p>
      <w:pPr>
        <w:spacing w:line="44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邮政编码：</w:t>
      </w:r>
    </w:p>
    <w:p>
      <w:pPr>
        <w:spacing w:line="44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电话：</w:t>
      </w:r>
    </w:p>
    <w:p>
      <w:pPr>
        <w:spacing w:line="440" w:lineRule="exact"/>
        <w:rPr>
          <w:rFonts w:hint="eastAsia" w:ascii="宋体" w:hAnsi="宋体" w:eastAsia="宋体" w:cs="宋体"/>
          <w:color w:val="auto"/>
          <w:sz w:val="24"/>
          <w:highlight w:val="none"/>
          <w:lang w:eastAsia="zh-CN"/>
        </w:rPr>
      </w:pPr>
      <w:r>
        <w:rPr>
          <w:rFonts w:hint="eastAsia" w:ascii="宋体" w:hAnsi="宋体" w:cs="宋体"/>
          <w:color w:val="auto"/>
          <w:sz w:val="24"/>
          <w:highlight w:val="none"/>
        </w:rPr>
        <w:t>传真：</w:t>
      </w:r>
    </w:p>
    <w:p>
      <w:pPr>
        <w:rPr>
          <w:rFonts w:hint="eastAsia" w:ascii="宋体" w:hAnsi="宋体" w:cs="宋体"/>
          <w:color w:val="auto"/>
          <w:sz w:val="24"/>
          <w:highlight w:val="none"/>
        </w:rPr>
      </w:pPr>
    </w:p>
    <w:p>
      <w:pPr>
        <w:rPr>
          <w:rFonts w:hint="eastAsia" w:ascii="宋体" w:hAnsi="宋体" w:cs="宋体"/>
          <w:color w:val="auto"/>
          <w:sz w:val="24"/>
          <w:highlight w:val="none"/>
        </w:rPr>
      </w:pPr>
    </w:p>
    <w:p>
      <w:pPr>
        <w:rPr>
          <w:rFonts w:hint="eastAsia" w:ascii="宋体" w:hAnsi="宋体" w:cs="宋体"/>
          <w:color w:val="auto"/>
          <w:sz w:val="24"/>
          <w:highlight w:val="none"/>
        </w:rPr>
      </w:pPr>
      <w:r>
        <w:rPr>
          <w:rFonts w:hint="eastAsia" w:ascii="宋体" w:hAnsi="宋体" w:cs="宋体"/>
          <w:color w:val="auto"/>
          <w:sz w:val="24"/>
          <w:highlight w:val="none"/>
        </w:rPr>
        <w:t>年月日</w:t>
      </w:r>
    </w:p>
    <w:p>
      <w:pPr>
        <w:spacing w:line="306" w:lineRule="exact"/>
        <w:ind w:left="721"/>
        <w:rPr>
          <w:color w:val="auto"/>
          <w:sz w:val="24"/>
        </w:rPr>
      </w:pPr>
    </w:p>
    <w:p>
      <w:pPr>
        <w:spacing w:line="306" w:lineRule="exact"/>
        <w:ind w:left="721"/>
        <w:rPr>
          <w:color w:val="auto"/>
          <w:sz w:val="24"/>
        </w:rPr>
      </w:pPr>
    </w:p>
    <w:p>
      <w:pPr>
        <w:spacing w:line="306" w:lineRule="exact"/>
        <w:ind w:left="721"/>
        <w:rPr>
          <w:color w:val="auto"/>
          <w:sz w:val="24"/>
        </w:rPr>
      </w:pPr>
    </w:p>
    <w:p>
      <w:pPr>
        <w:spacing w:line="306" w:lineRule="exact"/>
        <w:ind w:left="721"/>
        <w:rPr>
          <w:color w:val="auto"/>
          <w:sz w:val="24"/>
        </w:rPr>
      </w:pPr>
    </w:p>
    <w:p>
      <w:pPr>
        <w:spacing w:line="306" w:lineRule="exact"/>
        <w:ind w:left="721"/>
        <w:rPr>
          <w:color w:val="auto"/>
          <w:sz w:val="24"/>
        </w:rPr>
      </w:pPr>
    </w:p>
    <w:p>
      <w:pPr>
        <w:rPr>
          <w:color w:val="auto"/>
          <w:sz w:val="24"/>
        </w:rPr>
      </w:pPr>
      <w:r>
        <w:rPr>
          <w:color w:val="auto"/>
          <w:sz w:val="24"/>
        </w:rPr>
        <w:br w:type="page"/>
      </w:r>
    </w:p>
    <w:p>
      <w:pPr>
        <w:rPr>
          <w:rFonts w:ascii="Times New Roman" w:hAnsi="Times New Roman" w:eastAsia="Times New Roman"/>
          <w:color w:val="auto"/>
        </w:rPr>
      </w:pPr>
    </w:p>
    <w:p>
      <w:pPr>
        <w:pStyle w:val="13"/>
        <w:spacing w:before="71"/>
        <w:rPr>
          <w:b/>
          <w:bCs/>
          <w:color w:val="auto"/>
          <w:sz w:val="24"/>
          <w:szCs w:val="24"/>
        </w:rPr>
      </w:pPr>
      <w:r>
        <w:rPr>
          <w:b/>
          <w:bCs/>
          <w:color w:val="auto"/>
          <w:sz w:val="24"/>
          <w:szCs w:val="24"/>
        </w:rPr>
        <w:t>附件</w:t>
      </w:r>
      <w:r>
        <w:rPr>
          <w:rFonts w:hint="eastAsia"/>
          <w:b/>
          <w:bCs/>
          <w:color w:val="auto"/>
          <w:sz w:val="24"/>
          <w:szCs w:val="24"/>
          <w:lang w:val="en-US" w:eastAsia="zh-CN"/>
        </w:rPr>
        <w:t>六</w:t>
      </w:r>
      <w:r>
        <w:rPr>
          <w:b/>
          <w:bCs/>
          <w:color w:val="auto"/>
          <w:sz w:val="24"/>
          <w:szCs w:val="24"/>
        </w:rPr>
        <w:t>：22.1.2附表</w:t>
      </w:r>
      <w:r>
        <w:rPr>
          <w:b/>
          <w:bCs/>
          <w:color w:val="auto"/>
          <w:sz w:val="24"/>
          <w:szCs w:val="24"/>
        </w:rPr>
        <w:tab/>
      </w:r>
      <w:r>
        <w:rPr>
          <w:b/>
          <w:bCs/>
          <w:color w:val="auto"/>
          <w:sz w:val="24"/>
          <w:szCs w:val="24"/>
        </w:rPr>
        <w:t>承包人违约金一览表</w:t>
      </w:r>
    </w:p>
    <w:p>
      <w:pPr>
        <w:pStyle w:val="13"/>
        <w:spacing w:before="9"/>
        <w:rPr>
          <w:color w:val="auto"/>
          <w:sz w:val="10"/>
        </w:rPr>
      </w:pPr>
    </w:p>
    <w:tbl>
      <w:tblPr>
        <w:tblStyle w:val="25"/>
        <w:tblW w:w="9645" w:type="dxa"/>
        <w:tblInd w:w="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5"/>
        <w:gridCol w:w="1440"/>
        <w:gridCol w:w="3780"/>
        <w:gridCol w:w="1950"/>
        <w:gridCol w:w="17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735" w:type="dxa"/>
            <w:vAlign w:val="center"/>
          </w:tcPr>
          <w:p>
            <w:pPr>
              <w:pStyle w:val="32"/>
              <w:spacing w:before="2"/>
              <w:ind w:left="89" w:right="147"/>
              <w:jc w:val="center"/>
              <w:rPr>
                <w:rFonts w:hint="eastAsia" w:ascii="宋体" w:hAnsi="宋体" w:eastAsia="宋体" w:cs="宋体"/>
                <w:color w:val="auto"/>
                <w:sz w:val="24"/>
                <w:szCs w:val="24"/>
              </w:rPr>
            </w:pPr>
            <w:r>
              <w:rPr>
                <w:rFonts w:hint="eastAsia" w:ascii="宋体" w:hAnsi="宋体" w:eastAsia="宋体" w:cs="宋体"/>
                <w:color w:val="auto"/>
                <w:sz w:val="24"/>
                <w:szCs w:val="24"/>
              </w:rPr>
              <w:t>序号</w:t>
            </w:r>
          </w:p>
        </w:tc>
        <w:tc>
          <w:tcPr>
            <w:tcW w:w="1440" w:type="dxa"/>
            <w:vAlign w:val="center"/>
          </w:tcPr>
          <w:p>
            <w:pPr>
              <w:pStyle w:val="32"/>
              <w:spacing w:before="2"/>
              <w:ind w:left="106"/>
              <w:jc w:val="center"/>
              <w:rPr>
                <w:rFonts w:hint="eastAsia" w:ascii="宋体" w:hAnsi="宋体" w:eastAsia="宋体" w:cs="宋体"/>
                <w:color w:val="auto"/>
                <w:sz w:val="24"/>
                <w:szCs w:val="24"/>
              </w:rPr>
            </w:pPr>
            <w:r>
              <w:rPr>
                <w:rFonts w:hint="eastAsia" w:ascii="宋体" w:hAnsi="宋体" w:eastAsia="宋体" w:cs="宋体"/>
                <w:color w:val="auto"/>
                <w:sz w:val="24"/>
                <w:szCs w:val="24"/>
              </w:rPr>
              <w:t>合同依据</w:t>
            </w:r>
          </w:p>
        </w:tc>
        <w:tc>
          <w:tcPr>
            <w:tcW w:w="3780" w:type="dxa"/>
            <w:vAlign w:val="center"/>
          </w:tcPr>
          <w:p>
            <w:pPr>
              <w:pStyle w:val="32"/>
              <w:spacing w:before="2"/>
              <w:ind w:left="1182" w:right="1158"/>
              <w:jc w:val="center"/>
              <w:rPr>
                <w:rFonts w:hint="eastAsia" w:ascii="宋体" w:hAnsi="宋体" w:eastAsia="宋体" w:cs="宋体"/>
                <w:color w:val="auto"/>
                <w:sz w:val="24"/>
                <w:szCs w:val="24"/>
              </w:rPr>
            </w:pPr>
            <w:r>
              <w:rPr>
                <w:rFonts w:hint="eastAsia" w:ascii="宋体" w:hAnsi="宋体" w:eastAsia="宋体" w:cs="宋体"/>
                <w:color w:val="auto"/>
                <w:sz w:val="24"/>
                <w:szCs w:val="24"/>
              </w:rPr>
              <w:t>违约内容</w:t>
            </w:r>
          </w:p>
        </w:tc>
        <w:tc>
          <w:tcPr>
            <w:tcW w:w="1950" w:type="dxa"/>
            <w:vAlign w:val="center"/>
          </w:tcPr>
          <w:p>
            <w:pPr>
              <w:pStyle w:val="32"/>
              <w:spacing w:before="2"/>
              <w:ind w:right="24" w:rightChars="0"/>
              <w:jc w:val="center"/>
              <w:rPr>
                <w:rFonts w:hint="eastAsia" w:ascii="宋体" w:hAnsi="宋体" w:eastAsia="宋体" w:cs="宋体"/>
                <w:color w:val="auto"/>
                <w:sz w:val="24"/>
                <w:szCs w:val="24"/>
              </w:rPr>
            </w:pPr>
            <w:r>
              <w:rPr>
                <w:rFonts w:hint="eastAsia" w:ascii="宋体" w:hAnsi="宋体" w:eastAsia="宋体" w:cs="宋体"/>
                <w:color w:val="auto"/>
                <w:sz w:val="24"/>
                <w:szCs w:val="24"/>
              </w:rPr>
              <w:t>违约金标准</w:t>
            </w:r>
          </w:p>
        </w:tc>
        <w:tc>
          <w:tcPr>
            <w:tcW w:w="1740" w:type="dxa"/>
            <w:vAlign w:val="center"/>
          </w:tcPr>
          <w:p>
            <w:pPr>
              <w:pStyle w:val="32"/>
              <w:spacing w:before="2"/>
              <w:ind w:left="511" w:right="509"/>
              <w:jc w:val="center"/>
              <w:rPr>
                <w:rFonts w:hint="eastAsia" w:ascii="宋体" w:hAnsi="宋体" w:eastAsia="宋体" w:cs="宋体"/>
                <w:color w:val="auto"/>
                <w:sz w:val="24"/>
                <w:szCs w:val="24"/>
              </w:rPr>
            </w:pPr>
            <w:r>
              <w:rPr>
                <w:rFonts w:hint="eastAsia" w:ascii="宋体" w:hAnsi="宋体" w:eastAsia="宋体" w:cs="宋体"/>
                <w:color w:val="auto"/>
                <w:sz w:val="24"/>
                <w:szCs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6"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1.6.3</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未得到监理人批准，承包人擅自对施工图的任何部分进行修改</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2万元/次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4.3</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违规分包或转包</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0万元/次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4.6.1</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承包人在接到监理人要求人员进场的通知5天后仍未安排相关人员进场，从第6天算起扣除承包人的违约金</w:t>
            </w:r>
          </w:p>
        </w:tc>
        <w:tc>
          <w:tcPr>
            <w:tcW w:w="1950" w:type="dxa"/>
            <w:vAlign w:val="center"/>
          </w:tcPr>
          <w:p>
            <w:pPr>
              <w:pStyle w:val="32"/>
              <w:spacing w:before="1"/>
              <w:ind w:left="106"/>
              <w:jc w:val="both"/>
              <w:rPr>
                <w:rFonts w:hint="eastAsia" w:ascii="宋体" w:hAnsi="宋体" w:eastAsia="宋体" w:cs="宋体"/>
                <w:color w:val="auto"/>
                <w:sz w:val="21"/>
                <w:szCs w:val="21"/>
              </w:rPr>
            </w:pPr>
          </w:p>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项目经理、项目总工2万元/人日；其他主要技术人员1万元/人日</w:t>
            </w:r>
          </w:p>
        </w:tc>
        <w:tc>
          <w:tcPr>
            <w:tcW w:w="1740" w:type="dxa"/>
            <w:vAlign w:val="center"/>
          </w:tcPr>
          <w:p>
            <w:pPr>
              <w:spacing w:before="31" w:line="240" w:lineRule="auto"/>
              <w:ind w:left="118"/>
              <w:rPr>
                <w:rFonts w:hint="eastAsia" w:ascii="宋体" w:hAnsi="宋体" w:eastAsia="宋体" w:cs="宋体"/>
                <w:color w:val="auto"/>
                <w:sz w:val="21"/>
                <w:szCs w:val="21"/>
              </w:rPr>
            </w:pPr>
            <w:r>
              <w:rPr>
                <w:rFonts w:hint="eastAsia" w:ascii="宋体" w:hAnsi="宋体" w:eastAsia="宋体" w:cs="宋体"/>
                <w:snapToGrid w:val="0"/>
                <w:color w:val="auto"/>
                <w:spacing w:val="11"/>
                <w:kern w:val="0"/>
                <w:position w:val="4"/>
                <w:sz w:val="21"/>
                <w:szCs w:val="21"/>
              </w:rPr>
              <w:t>如果承包人接到通知后15天未安排相关人员进场，将要求其更换人选，同时执行人员更换违约条款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144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4.6.3（2）</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承包人的档案资料整理负责人在</w:t>
            </w:r>
          </w:p>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本项目连续工作不足1年。</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1万元/人次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0"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4.6.3（3）</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项目经理、总工程师驻守现场不足22天/月，处以不足天数的</w:t>
            </w:r>
            <w:r>
              <w:rPr>
                <w:rFonts w:hint="eastAsia" w:ascii="宋体" w:hAnsi="宋体" w:eastAsia="宋体" w:cs="宋体"/>
                <w:color w:val="auto"/>
                <w:sz w:val="21"/>
                <w:szCs w:val="21"/>
                <w:lang w:val="en-US" w:eastAsia="zh-CN"/>
              </w:rPr>
              <w:t>罚款</w:t>
            </w:r>
            <w:r>
              <w:rPr>
                <w:rFonts w:hint="eastAsia" w:ascii="宋体" w:hAnsi="宋体" w:eastAsia="宋体" w:cs="宋体"/>
                <w:color w:val="auto"/>
                <w:sz w:val="21"/>
                <w:szCs w:val="21"/>
              </w:rPr>
              <w:t>。</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5000元/天</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6"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4.6.3（4）</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专职安全生产管理人员没有按每5000万施工合同额配备一名(不足5000万至少配备一名)。</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5万元/人次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3"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7</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4.6.3（5）</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项目经理或总工程师无故缺席发包人指定的各种会议，包括监理人主持的重要会议（如工地例会等）。</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1万元/次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6" w:hRule="atLeast"/>
        </w:trPr>
        <w:tc>
          <w:tcPr>
            <w:tcW w:w="73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8</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4.6.6</w:t>
            </w:r>
          </w:p>
        </w:tc>
        <w:tc>
          <w:tcPr>
            <w:tcW w:w="3780" w:type="dxa"/>
            <w:vAlign w:val="center"/>
          </w:tcPr>
          <w:p>
            <w:pPr>
              <w:pStyle w:val="32"/>
              <w:spacing w:before="1"/>
              <w:ind w:left="106"/>
              <w:jc w:val="both"/>
              <w:rPr>
                <w:rFonts w:hint="eastAsia" w:ascii="宋体" w:hAnsi="宋体" w:eastAsia="宋体" w:cs="宋体"/>
                <w:color w:val="auto"/>
                <w:sz w:val="21"/>
                <w:szCs w:val="21"/>
              </w:rPr>
            </w:pPr>
            <w:r>
              <w:rPr>
                <w:rFonts w:hint="eastAsia" w:ascii="宋体" w:hAnsi="宋体" w:eastAsia="宋体" w:cs="宋体"/>
                <w:color w:val="auto"/>
                <w:sz w:val="21"/>
                <w:szCs w:val="21"/>
              </w:rPr>
              <w:t>不签订劳动合同、非法使用农民工的，或者拖延和克扣农民工工资的，由此造成劳务人员上访或劳动纠纷的。</w:t>
            </w:r>
          </w:p>
        </w:tc>
        <w:tc>
          <w:tcPr>
            <w:tcW w:w="195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10万元/次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735"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9</w:t>
            </w:r>
          </w:p>
        </w:tc>
        <w:tc>
          <w:tcPr>
            <w:tcW w:w="144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4.6.7</w:t>
            </w:r>
          </w:p>
        </w:tc>
        <w:tc>
          <w:tcPr>
            <w:tcW w:w="378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分项工程的施工员没在现场管理的</w:t>
            </w:r>
          </w:p>
        </w:tc>
        <w:tc>
          <w:tcPr>
            <w:tcW w:w="195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1000元/次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735"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10</w:t>
            </w:r>
          </w:p>
        </w:tc>
        <w:tc>
          <w:tcPr>
            <w:tcW w:w="144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4.6.7</w:t>
            </w:r>
          </w:p>
        </w:tc>
        <w:tc>
          <w:tcPr>
            <w:tcW w:w="378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重要工序（桩基、面层施工等），没有施工员在现场管理的</w:t>
            </w:r>
          </w:p>
        </w:tc>
        <w:tc>
          <w:tcPr>
            <w:tcW w:w="195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2000元/次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735"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11</w:t>
            </w:r>
          </w:p>
        </w:tc>
        <w:tc>
          <w:tcPr>
            <w:tcW w:w="144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4.6.7</w:t>
            </w:r>
          </w:p>
        </w:tc>
        <w:tc>
          <w:tcPr>
            <w:tcW w:w="378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超过24小时没有施工员在场而继续施工的</w:t>
            </w:r>
          </w:p>
        </w:tc>
        <w:tc>
          <w:tcPr>
            <w:tcW w:w="195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5000元/次</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735"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12</w:t>
            </w:r>
          </w:p>
        </w:tc>
        <w:tc>
          <w:tcPr>
            <w:tcW w:w="144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5.3.1、6.4</w:t>
            </w:r>
          </w:p>
        </w:tc>
        <w:tc>
          <w:tcPr>
            <w:tcW w:w="378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未经监理人同意，承包人将专用于本工程的材料、工程设备、施工设备和临时设施运出施工场地或挪作他用。</w:t>
            </w:r>
          </w:p>
        </w:tc>
        <w:tc>
          <w:tcPr>
            <w:tcW w:w="195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1万元/台，同时处以1000元/天的违约金直至承包人纠正为止。</w:t>
            </w:r>
          </w:p>
        </w:tc>
        <w:tc>
          <w:tcPr>
            <w:tcW w:w="1740" w:type="dxa"/>
            <w:vAlign w:val="center"/>
          </w:tcPr>
          <w:p>
            <w:pPr>
              <w:pStyle w:val="32"/>
              <w:spacing w:before="1"/>
              <w:ind w:left="106"/>
              <w:jc w:val="both"/>
              <w:rPr>
                <w:rFonts w:hint="eastAsia" w:ascii="宋体" w:hAnsi="宋体" w:eastAsia="宋体" w:cs="宋体"/>
                <w:color w:val="auto"/>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9" w:hRule="atLeast"/>
        </w:trPr>
        <w:tc>
          <w:tcPr>
            <w:tcW w:w="735"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13</w:t>
            </w:r>
          </w:p>
        </w:tc>
        <w:tc>
          <w:tcPr>
            <w:tcW w:w="1440" w:type="dxa"/>
            <w:vAlign w:val="center"/>
          </w:tcPr>
          <w:p>
            <w:pPr>
              <w:pStyle w:val="32"/>
              <w:spacing w:before="1"/>
              <w:ind w:left="106"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6.1.1</w:t>
            </w:r>
          </w:p>
        </w:tc>
        <w:tc>
          <w:tcPr>
            <w:tcW w:w="3780" w:type="dxa"/>
            <w:vAlign w:val="center"/>
          </w:tcPr>
          <w:p>
            <w:pPr>
              <w:pStyle w:val="32"/>
              <w:spacing w:before="1"/>
              <w:ind w:left="106"/>
              <w:jc w:val="left"/>
              <w:rPr>
                <w:rFonts w:hint="eastAsia" w:ascii="宋体" w:hAnsi="宋体" w:eastAsia="宋体" w:cs="宋体"/>
                <w:color w:val="auto"/>
                <w:sz w:val="21"/>
                <w:szCs w:val="21"/>
              </w:rPr>
            </w:pPr>
          </w:p>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按施工进度计划须到位而未到位的主要设备，或擅自改变主要设备型号。</w:t>
            </w:r>
          </w:p>
        </w:tc>
        <w:tc>
          <w:tcPr>
            <w:tcW w:w="1950" w:type="dxa"/>
            <w:vAlign w:val="center"/>
          </w:tcPr>
          <w:p>
            <w:pPr>
              <w:pStyle w:val="32"/>
              <w:spacing w:before="1"/>
              <w:ind w:left="106" w:leftChars="0"/>
              <w:jc w:val="left"/>
              <w:rPr>
                <w:rFonts w:hint="eastAsia" w:ascii="宋体" w:hAnsi="宋体" w:eastAsia="宋体" w:cs="宋体"/>
                <w:color w:val="auto"/>
                <w:sz w:val="21"/>
                <w:szCs w:val="21"/>
              </w:rPr>
            </w:pPr>
            <w:r>
              <w:rPr>
                <w:rFonts w:hint="eastAsia" w:ascii="宋体" w:hAnsi="宋体" w:eastAsia="宋体" w:cs="宋体"/>
                <w:color w:val="auto"/>
                <w:sz w:val="21"/>
                <w:szCs w:val="21"/>
              </w:rPr>
              <w:t>1万元/台，同时处以1000元/天的违约金直至承包人纠正为止。</w:t>
            </w:r>
          </w:p>
        </w:tc>
        <w:tc>
          <w:tcPr>
            <w:tcW w:w="1740" w:type="dxa"/>
            <w:vAlign w:val="center"/>
          </w:tcPr>
          <w:p>
            <w:pPr>
              <w:pStyle w:val="32"/>
              <w:spacing w:before="1"/>
              <w:ind w:left="106"/>
              <w:jc w:val="both"/>
              <w:rPr>
                <w:rFonts w:hint="eastAsia" w:ascii="宋体" w:hAnsi="宋体" w:eastAsia="宋体" w:cs="宋体"/>
                <w:color w:val="auto"/>
                <w:sz w:val="21"/>
                <w:szCs w:val="21"/>
              </w:rPr>
            </w:pPr>
          </w:p>
        </w:tc>
      </w:tr>
    </w:tbl>
    <w:p>
      <w:pPr>
        <w:rPr>
          <w:rFonts w:hint="eastAsia" w:ascii="宋体" w:hAnsi="宋体" w:eastAsia="宋体" w:cs="宋体"/>
          <w:color w:val="auto"/>
          <w:sz w:val="20"/>
        </w:rPr>
        <w:sectPr>
          <w:footerReference r:id="rId27" w:type="default"/>
          <w:pgSz w:w="11911" w:h="16838"/>
          <w:pgMar w:top="1247" w:right="1134" w:bottom="1247" w:left="1134" w:header="737" w:footer="850" w:gutter="0"/>
          <w:pgNumType w:fmt="numberInDash"/>
          <w:cols w:space="0" w:num="1"/>
          <w:rtlGutter w:val="0"/>
          <w:docGrid w:linePitch="0" w:charSpace="0"/>
        </w:sectPr>
      </w:pPr>
    </w:p>
    <w:tbl>
      <w:tblPr>
        <w:tblStyle w:val="25"/>
        <w:tblW w:w="9660" w:type="dxa"/>
        <w:tblInd w:w="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5"/>
        <w:gridCol w:w="1440"/>
        <w:gridCol w:w="3750"/>
        <w:gridCol w:w="2070"/>
        <w:gridCol w:w="16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6" w:hRule="atLeast"/>
        </w:trPr>
        <w:tc>
          <w:tcPr>
            <w:tcW w:w="76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14</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6.3</w:t>
            </w:r>
          </w:p>
        </w:tc>
        <w:tc>
          <w:tcPr>
            <w:tcW w:w="375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承包人未按监理人要求增加或更换施工设备</w:t>
            </w:r>
          </w:p>
        </w:tc>
        <w:tc>
          <w:tcPr>
            <w:tcW w:w="207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1万元/台，同时处以1000元/天的违约金直至承包人纠正为止。</w:t>
            </w:r>
          </w:p>
        </w:tc>
        <w:tc>
          <w:tcPr>
            <w:tcW w:w="1635" w:type="dxa"/>
          </w:tcPr>
          <w:p>
            <w:pPr>
              <w:pStyle w:val="32"/>
              <w:spacing w:before="1"/>
              <w:ind w:left="106"/>
              <w:jc w:val="both"/>
              <w:rPr>
                <w:rFonts w:hint="eastAsia" w:ascii="宋体" w:hAnsi="宋体" w:eastAsia="宋体" w:cs="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1" w:hRule="atLeast"/>
        </w:trPr>
        <w:tc>
          <w:tcPr>
            <w:tcW w:w="76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15</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11.1.1</w:t>
            </w:r>
          </w:p>
        </w:tc>
        <w:tc>
          <w:tcPr>
            <w:tcW w:w="375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承包人未按期开工</w:t>
            </w:r>
          </w:p>
        </w:tc>
        <w:tc>
          <w:tcPr>
            <w:tcW w:w="207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参照工期延误的标准扣除违约金</w:t>
            </w:r>
          </w:p>
        </w:tc>
        <w:tc>
          <w:tcPr>
            <w:tcW w:w="1635" w:type="dxa"/>
          </w:tcPr>
          <w:p>
            <w:pPr>
              <w:pStyle w:val="32"/>
              <w:spacing w:before="1"/>
              <w:ind w:left="106"/>
              <w:jc w:val="both"/>
              <w:rPr>
                <w:rFonts w:hint="eastAsia" w:ascii="宋体" w:hAnsi="宋体" w:eastAsia="宋体" w:cs="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9" w:hRule="atLeast"/>
        </w:trPr>
        <w:tc>
          <w:tcPr>
            <w:tcW w:w="765"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16</w:t>
            </w:r>
          </w:p>
        </w:tc>
        <w:tc>
          <w:tcPr>
            <w:tcW w:w="1440" w:type="dxa"/>
            <w:vAlign w:val="center"/>
          </w:tcPr>
          <w:p>
            <w:pPr>
              <w:pStyle w:val="32"/>
              <w:spacing w:before="1"/>
              <w:ind w:left="106"/>
              <w:jc w:val="center"/>
              <w:rPr>
                <w:rFonts w:hint="eastAsia" w:ascii="宋体" w:hAnsi="宋体" w:eastAsia="宋体" w:cs="宋体"/>
                <w:color w:val="auto"/>
                <w:sz w:val="21"/>
                <w:szCs w:val="21"/>
              </w:rPr>
            </w:pPr>
            <w:r>
              <w:rPr>
                <w:rFonts w:hint="eastAsia" w:ascii="宋体" w:hAnsi="宋体" w:eastAsia="宋体" w:cs="宋体"/>
                <w:color w:val="auto"/>
                <w:sz w:val="21"/>
                <w:szCs w:val="21"/>
              </w:rPr>
              <w:t>11.5</w:t>
            </w:r>
          </w:p>
        </w:tc>
        <w:tc>
          <w:tcPr>
            <w:tcW w:w="375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承包人的工期延误</w:t>
            </w:r>
          </w:p>
        </w:tc>
        <w:tc>
          <w:tcPr>
            <w:tcW w:w="2070" w:type="dxa"/>
            <w:vAlign w:val="center"/>
          </w:tcPr>
          <w:p>
            <w:pPr>
              <w:pStyle w:val="32"/>
              <w:spacing w:before="1"/>
              <w:ind w:left="106"/>
              <w:jc w:val="left"/>
              <w:rPr>
                <w:rFonts w:hint="eastAsia" w:ascii="宋体" w:hAnsi="宋体" w:eastAsia="宋体" w:cs="宋体"/>
                <w:color w:val="auto"/>
                <w:sz w:val="21"/>
                <w:szCs w:val="21"/>
              </w:rPr>
            </w:pPr>
            <w:r>
              <w:rPr>
                <w:rFonts w:hint="eastAsia" w:ascii="宋体" w:hAnsi="宋体" w:eastAsia="宋体" w:cs="宋体"/>
                <w:color w:val="auto"/>
                <w:sz w:val="21"/>
                <w:szCs w:val="21"/>
              </w:rPr>
              <w:t>按照项目专用条款数据表第11.5款规定的标准扣除</w:t>
            </w:r>
          </w:p>
        </w:tc>
        <w:tc>
          <w:tcPr>
            <w:tcW w:w="1635" w:type="dxa"/>
          </w:tcPr>
          <w:p>
            <w:pPr>
              <w:pStyle w:val="32"/>
              <w:spacing w:before="1"/>
              <w:ind w:left="106"/>
              <w:jc w:val="both"/>
              <w:rPr>
                <w:rFonts w:hint="eastAsia" w:ascii="宋体" w:hAnsi="宋体" w:eastAsia="宋体" w:cs="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13" w:hRule="atLeast"/>
        </w:trPr>
        <w:tc>
          <w:tcPr>
            <w:tcW w:w="765" w:type="dxa"/>
            <w:vAlign w:val="center"/>
          </w:tcPr>
          <w:p>
            <w:pPr>
              <w:spacing w:before="75" w:line="191" w:lineRule="auto"/>
              <w:ind w:left="271" w:leftChars="0"/>
              <w:jc w:val="both"/>
              <w:rPr>
                <w:rFonts w:hint="eastAsia" w:ascii="宋体" w:hAnsi="宋体" w:eastAsia="宋体" w:cs="宋体"/>
                <w:color w:val="auto"/>
                <w:sz w:val="21"/>
                <w:szCs w:val="21"/>
              </w:rPr>
            </w:pPr>
            <w:r>
              <w:rPr>
                <w:rFonts w:hint="eastAsia" w:ascii="宋体" w:hAnsi="宋体" w:eastAsia="宋体" w:cs="宋体"/>
                <w:color w:val="auto"/>
                <w:spacing w:val="-10"/>
                <w:sz w:val="21"/>
                <w:szCs w:val="21"/>
              </w:rPr>
              <w:t>1</w:t>
            </w:r>
            <w:r>
              <w:rPr>
                <w:rFonts w:hint="eastAsia" w:ascii="宋体" w:hAnsi="宋体" w:eastAsia="宋体" w:cs="宋体"/>
                <w:color w:val="auto"/>
                <w:spacing w:val="-8"/>
                <w:sz w:val="21"/>
                <w:szCs w:val="21"/>
              </w:rPr>
              <w:t>7</w:t>
            </w:r>
          </w:p>
        </w:tc>
        <w:tc>
          <w:tcPr>
            <w:tcW w:w="1440" w:type="dxa"/>
            <w:vAlign w:val="center"/>
          </w:tcPr>
          <w:p>
            <w:pPr>
              <w:spacing w:before="75" w:line="308" w:lineRule="exact"/>
              <w:ind w:left="130" w:leftChars="0"/>
              <w:jc w:val="center"/>
              <w:rPr>
                <w:rFonts w:hint="eastAsia" w:ascii="宋体" w:hAnsi="宋体" w:eastAsia="宋体" w:cs="宋体"/>
                <w:color w:val="auto"/>
                <w:sz w:val="21"/>
                <w:szCs w:val="21"/>
              </w:rPr>
            </w:pPr>
            <w:r>
              <w:rPr>
                <w:rFonts w:hint="eastAsia" w:ascii="宋体" w:hAnsi="宋体" w:eastAsia="宋体" w:cs="宋体"/>
                <w:color w:val="auto"/>
                <w:spacing w:val="2"/>
                <w:position w:val="1"/>
                <w:sz w:val="21"/>
                <w:szCs w:val="21"/>
              </w:rPr>
              <w:t>19.2.2(1</w:t>
            </w:r>
            <w:r>
              <w:rPr>
                <w:rFonts w:hint="eastAsia" w:ascii="宋体" w:hAnsi="宋体" w:eastAsia="宋体" w:cs="宋体"/>
                <w:color w:val="auto"/>
                <w:spacing w:val="1"/>
                <w:position w:val="1"/>
                <w:sz w:val="21"/>
                <w:szCs w:val="21"/>
              </w:rPr>
              <w:t>)</w:t>
            </w:r>
          </w:p>
        </w:tc>
        <w:tc>
          <w:tcPr>
            <w:tcW w:w="3750" w:type="dxa"/>
            <w:vAlign w:val="center"/>
          </w:tcPr>
          <w:p>
            <w:pPr>
              <w:spacing w:before="74" w:line="263" w:lineRule="auto"/>
              <w:ind w:left="120" w:leftChars="0" w:right="261" w:rightChars="0" w:hanging="7" w:firstLineChars="0"/>
              <w:jc w:val="left"/>
              <w:rPr>
                <w:rFonts w:hint="eastAsia" w:ascii="宋体" w:hAnsi="宋体" w:eastAsia="宋体" w:cs="宋体"/>
                <w:color w:val="auto"/>
                <w:sz w:val="21"/>
                <w:szCs w:val="21"/>
              </w:rPr>
            </w:pPr>
            <w:r>
              <w:rPr>
                <w:rFonts w:hint="eastAsia" w:ascii="宋体" w:hAnsi="宋体" w:eastAsia="宋体" w:cs="宋体"/>
                <w:color w:val="auto"/>
                <w:spacing w:val="13"/>
                <w:sz w:val="21"/>
                <w:szCs w:val="21"/>
              </w:rPr>
              <w:t>承</w:t>
            </w:r>
            <w:r>
              <w:rPr>
                <w:rFonts w:hint="eastAsia" w:ascii="宋体" w:hAnsi="宋体" w:eastAsia="宋体" w:cs="宋体"/>
                <w:color w:val="auto"/>
                <w:spacing w:val="9"/>
                <w:sz w:val="21"/>
                <w:szCs w:val="21"/>
              </w:rPr>
              <w:t>包人未设立缺陷责任期内的留</w:t>
            </w:r>
            <w:r>
              <w:rPr>
                <w:rFonts w:hint="eastAsia" w:ascii="宋体" w:hAnsi="宋体" w:eastAsia="宋体" w:cs="宋体"/>
                <w:color w:val="auto"/>
                <w:spacing w:val="6"/>
                <w:sz w:val="21"/>
                <w:szCs w:val="21"/>
              </w:rPr>
              <w:t>守项目</w:t>
            </w:r>
            <w:r>
              <w:rPr>
                <w:rFonts w:hint="eastAsia" w:ascii="宋体" w:hAnsi="宋体" w:eastAsia="宋体" w:cs="宋体"/>
                <w:color w:val="auto"/>
                <w:spacing w:val="5"/>
                <w:sz w:val="21"/>
                <w:szCs w:val="21"/>
              </w:rPr>
              <w:t>部</w:t>
            </w:r>
          </w:p>
        </w:tc>
        <w:tc>
          <w:tcPr>
            <w:tcW w:w="2070" w:type="dxa"/>
            <w:vAlign w:val="center"/>
          </w:tcPr>
          <w:p>
            <w:pPr>
              <w:spacing w:before="38" w:line="243" w:lineRule="auto"/>
              <w:ind w:left="122" w:leftChars="0" w:right="212" w:rightChars="0" w:hanging="3" w:firstLineChars="0"/>
              <w:jc w:val="left"/>
              <w:rPr>
                <w:rFonts w:hint="eastAsia" w:ascii="宋体" w:hAnsi="宋体" w:eastAsia="宋体" w:cs="宋体"/>
                <w:color w:val="auto"/>
                <w:sz w:val="21"/>
                <w:szCs w:val="21"/>
              </w:rPr>
            </w:pPr>
            <w:r>
              <w:rPr>
                <w:rFonts w:hint="eastAsia" w:ascii="宋体" w:hAnsi="宋体" w:eastAsia="宋体" w:cs="宋体"/>
                <w:color w:val="auto"/>
                <w:spacing w:val="8"/>
                <w:sz w:val="21"/>
                <w:szCs w:val="21"/>
              </w:rPr>
              <w:t>按项目专用合</w:t>
            </w:r>
            <w:r>
              <w:rPr>
                <w:rFonts w:hint="eastAsia" w:ascii="宋体" w:hAnsi="宋体" w:eastAsia="宋体" w:cs="宋体"/>
                <w:color w:val="auto"/>
                <w:spacing w:val="6"/>
                <w:sz w:val="21"/>
                <w:szCs w:val="21"/>
              </w:rPr>
              <w:t>同条款第</w:t>
            </w:r>
            <w:r>
              <w:rPr>
                <w:rFonts w:hint="eastAsia" w:ascii="宋体" w:hAnsi="宋体" w:eastAsia="宋体" w:cs="宋体"/>
                <w:color w:val="auto"/>
                <w:spacing w:val="8"/>
                <w:sz w:val="21"/>
                <w:szCs w:val="21"/>
              </w:rPr>
              <w:t>1</w:t>
            </w:r>
            <w:r>
              <w:rPr>
                <w:rFonts w:hint="eastAsia" w:ascii="宋体" w:hAnsi="宋体" w:eastAsia="宋体" w:cs="宋体"/>
                <w:color w:val="auto"/>
                <w:spacing w:val="5"/>
                <w:sz w:val="21"/>
                <w:szCs w:val="21"/>
              </w:rPr>
              <w:t>9</w:t>
            </w:r>
            <w:r>
              <w:rPr>
                <w:rFonts w:hint="eastAsia" w:ascii="宋体" w:hAnsi="宋体" w:eastAsia="宋体" w:cs="宋体"/>
                <w:color w:val="auto"/>
                <w:spacing w:val="4"/>
                <w:sz w:val="21"/>
                <w:szCs w:val="21"/>
              </w:rPr>
              <w:t>.2.2(1)项规</w:t>
            </w:r>
            <w:r>
              <w:rPr>
                <w:rFonts w:hint="eastAsia" w:ascii="宋体" w:hAnsi="宋体" w:eastAsia="宋体" w:cs="宋体"/>
                <w:color w:val="auto"/>
                <w:spacing w:val="9"/>
                <w:sz w:val="21"/>
                <w:szCs w:val="21"/>
              </w:rPr>
              <w:t>定</w:t>
            </w:r>
            <w:r>
              <w:rPr>
                <w:rFonts w:hint="eastAsia" w:ascii="宋体" w:hAnsi="宋体" w:eastAsia="宋体" w:cs="宋体"/>
                <w:color w:val="auto"/>
                <w:spacing w:val="7"/>
                <w:sz w:val="21"/>
                <w:szCs w:val="21"/>
              </w:rPr>
              <w:t>扣除违约金</w:t>
            </w:r>
          </w:p>
        </w:tc>
        <w:tc>
          <w:tcPr>
            <w:tcW w:w="1635" w:type="dxa"/>
          </w:tcPr>
          <w:p>
            <w:pPr>
              <w:pStyle w:val="32"/>
              <w:spacing w:before="1"/>
              <w:ind w:left="106"/>
              <w:jc w:val="both"/>
              <w:rPr>
                <w:rFonts w:hint="eastAsia" w:ascii="宋体" w:hAnsi="宋体" w:eastAsia="宋体" w:cs="宋体"/>
                <w:color w:val="auto"/>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4" w:hRule="atLeast"/>
        </w:trPr>
        <w:tc>
          <w:tcPr>
            <w:tcW w:w="765" w:type="dxa"/>
            <w:vAlign w:val="center"/>
          </w:tcPr>
          <w:p>
            <w:pPr>
              <w:spacing w:before="74" w:line="191" w:lineRule="auto"/>
              <w:ind w:left="271" w:leftChars="0"/>
              <w:jc w:val="center"/>
              <w:rPr>
                <w:rFonts w:hint="eastAsia" w:ascii="宋体" w:hAnsi="宋体" w:eastAsia="宋体" w:cs="宋体"/>
                <w:color w:val="auto"/>
                <w:sz w:val="21"/>
                <w:szCs w:val="21"/>
              </w:rPr>
            </w:pPr>
            <w:r>
              <w:rPr>
                <w:rFonts w:hint="eastAsia" w:ascii="宋体" w:hAnsi="宋体" w:eastAsia="宋体" w:cs="宋体"/>
                <w:color w:val="auto"/>
                <w:spacing w:val="-10"/>
                <w:sz w:val="21"/>
                <w:szCs w:val="21"/>
              </w:rPr>
              <w:t>1</w:t>
            </w:r>
            <w:r>
              <w:rPr>
                <w:rFonts w:hint="eastAsia" w:ascii="宋体" w:hAnsi="宋体" w:eastAsia="宋体" w:cs="宋体"/>
                <w:color w:val="auto"/>
                <w:spacing w:val="-8"/>
                <w:sz w:val="21"/>
                <w:szCs w:val="21"/>
              </w:rPr>
              <w:t>8</w:t>
            </w:r>
          </w:p>
        </w:tc>
        <w:tc>
          <w:tcPr>
            <w:tcW w:w="1440" w:type="dxa"/>
            <w:vAlign w:val="center"/>
          </w:tcPr>
          <w:p>
            <w:pPr>
              <w:spacing w:before="74" w:line="191" w:lineRule="auto"/>
              <w:ind w:left="130" w:leftChars="0"/>
              <w:jc w:val="center"/>
              <w:rPr>
                <w:rFonts w:hint="eastAsia" w:ascii="宋体" w:hAnsi="宋体" w:eastAsia="宋体" w:cs="宋体"/>
                <w:color w:val="auto"/>
                <w:sz w:val="21"/>
                <w:szCs w:val="21"/>
              </w:rPr>
            </w:pPr>
            <w:r>
              <w:rPr>
                <w:rFonts w:hint="eastAsia" w:ascii="宋体" w:hAnsi="宋体" w:eastAsia="宋体" w:cs="宋体"/>
                <w:color w:val="auto"/>
                <w:spacing w:val="1"/>
                <w:sz w:val="21"/>
                <w:szCs w:val="21"/>
              </w:rPr>
              <w:t>19</w:t>
            </w:r>
            <w:r>
              <w:rPr>
                <w:rFonts w:hint="eastAsia" w:ascii="宋体" w:hAnsi="宋体" w:eastAsia="宋体" w:cs="宋体"/>
                <w:color w:val="auto"/>
                <w:sz w:val="21"/>
                <w:szCs w:val="21"/>
              </w:rPr>
              <w:t>.2.4</w:t>
            </w:r>
          </w:p>
        </w:tc>
        <w:tc>
          <w:tcPr>
            <w:tcW w:w="3750" w:type="dxa"/>
            <w:vAlign w:val="center"/>
          </w:tcPr>
          <w:p>
            <w:pPr>
              <w:spacing w:before="75" w:line="257" w:lineRule="auto"/>
              <w:ind w:left="113" w:leftChars="0" w:right="103" w:rightChars="0"/>
              <w:jc w:val="left"/>
              <w:rPr>
                <w:rFonts w:hint="eastAsia" w:ascii="宋体" w:hAnsi="宋体" w:eastAsia="宋体" w:cs="宋体"/>
                <w:color w:val="auto"/>
                <w:sz w:val="21"/>
                <w:szCs w:val="21"/>
              </w:rPr>
            </w:pPr>
            <w:r>
              <w:rPr>
                <w:rFonts w:hint="eastAsia" w:ascii="宋体" w:hAnsi="宋体" w:eastAsia="宋体" w:cs="宋体"/>
                <w:color w:val="auto"/>
                <w:spacing w:val="13"/>
                <w:sz w:val="21"/>
                <w:szCs w:val="21"/>
              </w:rPr>
              <w:t>承</w:t>
            </w:r>
            <w:r>
              <w:rPr>
                <w:rFonts w:hint="eastAsia" w:ascii="宋体" w:hAnsi="宋体" w:eastAsia="宋体" w:cs="宋体"/>
                <w:color w:val="auto"/>
                <w:spacing w:val="9"/>
                <w:sz w:val="21"/>
                <w:szCs w:val="21"/>
              </w:rPr>
              <w:t>包人未履行监理人的指令对缺</w:t>
            </w:r>
            <w:r>
              <w:rPr>
                <w:rFonts w:hint="eastAsia" w:ascii="宋体" w:hAnsi="宋体" w:eastAsia="宋体" w:cs="宋体"/>
                <w:color w:val="auto"/>
                <w:spacing w:val="4"/>
                <w:sz w:val="21"/>
                <w:szCs w:val="21"/>
              </w:rPr>
              <w:t>陷工程进行修补、修复或重建，</w:t>
            </w:r>
            <w:r>
              <w:rPr>
                <w:rFonts w:hint="eastAsia" w:ascii="宋体" w:hAnsi="宋体" w:eastAsia="宋体" w:cs="宋体"/>
                <w:color w:val="auto"/>
                <w:spacing w:val="3"/>
                <w:sz w:val="21"/>
                <w:szCs w:val="21"/>
              </w:rPr>
              <w:t>发</w:t>
            </w:r>
            <w:r>
              <w:rPr>
                <w:rFonts w:hint="eastAsia" w:ascii="宋体" w:hAnsi="宋体" w:eastAsia="宋体" w:cs="宋体"/>
                <w:color w:val="auto"/>
                <w:spacing w:val="13"/>
                <w:sz w:val="21"/>
                <w:szCs w:val="21"/>
              </w:rPr>
              <w:t>包</w:t>
            </w:r>
            <w:r>
              <w:rPr>
                <w:rFonts w:hint="eastAsia" w:ascii="宋体" w:hAnsi="宋体" w:eastAsia="宋体" w:cs="宋体"/>
                <w:color w:val="auto"/>
                <w:spacing w:val="9"/>
                <w:sz w:val="21"/>
                <w:szCs w:val="21"/>
              </w:rPr>
              <w:t>人可自行修复或委托其他人修</w:t>
            </w:r>
            <w:r>
              <w:rPr>
                <w:rFonts w:hint="eastAsia" w:ascii="宋体" w:hAnsi="宋体" w:eastAsia="宋体" w:cs="宋体"/>
                <w:color w:val="auto"/>
                <w:sz w:val="21"/>
                <w:szCs w:val="21"/>
              </w:rPr>
              <w:t>复</w:t>
            </w:r>
          </w:p>
        </w:tc>
        <w:tc>
          <w:tcPr>
            <w:tcW w:w="2070" w:type="dxa"/>
            <w:vAlign w:val="center"/>
          </w:tcPr>
          <w:p>
            <w:pPr>
              <w:spacing w:before="38" w:line="250" w:lineRule="auto"/>
              <w:ind w:left="117" w:right="104"/>
              <w:jc w:val="left"/>
              <w:rPr>
                <w:rFonts w:hint="eastAsia" w:ascii="宋体" w:hAnsi="宋体" w:eastAsia="宋体" w:cs="宋体"/>
                <w:color w:val="auto"/>
                <w:sz w:val="21"/>
                <w:szCs w:val="21"/>
              </w:rPr>
            </w:pPr>
            <w:r>
              <w:rPr>
                <w:rFonts w:hint="eastAsia" w:ascii="宋体" w:hAnsi="宋体" w:eastAsia="宋体" w:cs="宋体"/>
                <w:color w:val="auto"/>
                <w:spacing w:val="10"/>
                <w:sz w:val="21"/>
                <w:szCs w:val="21"/>
              </w:rPr>
              <w:t>应</w:t>
            </w:r>
            <w:r>
              <w:rPr>
                <w:rFonts w:hint="eastAsia" w:ascii="宋体" w:hAnsi="宋体" w:eastAsia="宋体" w:cs="宋体"/>
                <w:color w:val="auto"/>
                <w:spacing w:val="8"/>
                <w:sz w:val="21"/>
                <w:szCs w:val="21"/>
              </w:rPr>
              <w:t>由承包人承</w:t>
            </w:r>
            <w:r>
              <w:rPr>
                <w:rFonts w:hint="eastAsia" w:ascii="宋体" w:hAnsi="宋体" w:eastAsia="宋体" w:cs="宋体"/>
                <w:color w:val="auto"/>
                <w:spacing w:val="9"/>
                <w:sz w:val="21"/>
                <w:szCs w:val="21"/>
              </w:rPr>
              <w:t>担</w:t>
            </w:r>
            <w:r>
              <w:rPr>
                <w:rFonts w:hint="eastAsia" w:ascii="宋体" w:hAnsi="宋体" w:eastAsia="宋体" w:cs="宋体"/>
                <w:color w:val="auto"/>
                <w:spacing w:val="8"/>
                <w:sz w:val="21"/>
                <w:szCs w:val="21"/>
              </w:rPr>
              <w:t>修复和查验</w:t>
            </w:r>
            <w:r>
              <w:rPr>
                <w:rFonts w:hint="eastAsia" w:ascii="宋体" w:hAnsi="宋体" w:eastAsia="宋体" w:cs="宋体"/>
                <w:color w:val="auto"/>
                <w:spacing w:val="7"/>
                <w:sz w:val="21"/>
                <w:szCs w:val="21"/>
              </w:rPr>
              <w:t>的费用，并按</w:t>
            </w:r>
            <w:r>
              <w:rPr>
                <w:rFonts w:hint="eastAsia" w:ascii="宋体" w:hAnsi="宋体" w:eastAsia="宋体" w:cs="宋体"/>
                <w:color w:val="auto"/>
                <w:spacing w:val="5"/>
                <w:sz w:val="21"/>
                <w:szCs w:val="21"/>
              </w:rPr>
              <w:t>该</w:t>
            </w:r>
            <w:r>
              <w:rPr>
                <w:rFonts w:hint="eastAsia" w:ascii="宋体" w:hAnsi="宋体" w:eastAsia="宋体" w:cs="宋体"/>
                <w:color w:val="auto"/>
                <w:spacing w:val="8"/>
                <w:sz w:val="21"/>
                <w:szCs w:val="21"/>
              </w:rPr>
              <w:t>项修复和</w:t>
            </w:r>
            <w:r>
              <w:rPr>
                <w:rFonts w:hint="eastAsia" w:ascii="宋体" w:hAnsi="宋体" w:eastAsia="宋体" w:cs="宋体"/>
                <w:color w:val="auto"/>
                <w:spacing w:val="7"/>
                <w:sz w:val="21"/>
                <w:szCs w:val="21"/>
              </w:rPr>
              <w:t>查</w:t>
            </w:r>
            <w:r>
              <w:rPr>
                <w:rFonts w:hint="eastAsia" w:ascii="宋体" w:hAnsi="宋体" w:eastAsia="宋体" w:cs="宋体"/>
                <w:color w:val="auto"/>
                <w:spacing w:val="3"/>
                <w:sz w:val="21"/>
                <w:szCs w:val="21"/>
              </w:rPr>
              <w:t>验费用的10</w:t>
            </w:r>
            <w:r>
              <w:rPr>
                <w:rFonts w:hint="eastAsia" w:ascii="宋体" w:hAnsi="宋体" w:eastAsia="宋体" w:cs="宋体"/>
                <w:color w:val="auto"/>
                <w:spacing w:val="1"/>
                <w:sz w:val="21"/>
                <w:szCs w:val="21"/>
              </w:rPr>
              <w:t>％</w:t>
            </w:r>
            <w:r>
              <w:rPr>
                <w:rFonts w:hint="eastAsia" w:ascii="宋体" w:hAnsi="宋体" w:eastAsia="宋体" w:cs="宋体"/>
                <w:color w:val="auto"/>
                <w:spacing w:val="11"/>
                <w:sz w:val="21"/>
                <w:szCs w:val="21"/>
              </w:rPr>
              <w:t>扣</w:t>
            </w:r>
            <w:r>
              <w:rPr>
                <w:rFonts w:hint="eastAsia" w:ascii="宋体" w:hAnsi="宋体" w:eastAsia="宋体" w:cs="宋体"/>
                <w:color w:val="auto"/>
                <w:spacing w:val="7"/>
                <w:sz w:val="21"/>
                <w:szCs w:val="21"/>
              </w:rPr>
              <w:t>除承包人违</w:t>
            </w:r>
            <w:r>
              <w:rPr>
                <w:rFonts w:hint="eastAsia" w:ascii="宋体" w:hAnsi="宋体" w:eastAsia="宋体" w:cs="宋体"/>
                <w:color w:val="auto"/>
                <w:spacing w:val="2"/>
                <w:sz w:val="21"/>
                <w:szCs w:val="21"/>
              </w:rPr>
              <w:t>约金。</w:t>
            </w:r>
          </w:p>
        </w:tc>
        <w:tc>
          <w:tcPr>
            <w:tcW w:w="1635" w:type="dxa"/>
          </w:tcPr>
          <w:p>
            <w:pPr>
              <w:pStyle w:val="32"/>
              <w:spacing w:before="1"/>
              <w:ind w:left="106"/>
              <w:jc w:val="both"/>
              <w:rPr>
                <w:rFonts w:hint="eastAsia" w:ascii="宋体" w:hAnsi="宋体" w:eastAsia="宋体" w:cs="宋体"/>
                <w:color w:val="auto"/>
                <w:sz w:val="24"/>
                <w:szCs w:val="24"/>
              </w:rPr>
            </w:pPr>
          </w:p>
        </w:tc>
      </w:tr>
    </w:tbl>
    <w:p>
      <w:pPr>
        <w:rPr>
          <w:rFonts w:ascii="Times New Roman"/>
          <w:color w:val="auto"/>
          <w:sz w:val="20"/>
        </w:rPr>
        <w:sectPr>
          <w:pgSz w:w="11911" w:h="16838"/>
          <w:pgMar w:top="1247" w:right="1134" w:bottom="1247" w:left="1134" w:header="737" w:footer="850" w:gutter="0"/>
          <w:pgNumType w:fmt="numberInDash"/>
          <w:cols w:space="0" w:num="1"/>
          <w:rtlGutter w:val="0"/>
          <w:docGrid w:linePitch="0" w:charSpace="0"/>
        </w:sectPr>
      </w:pPr>
    </w:p>
    <w:p>
      <w:pPr>
        <w:pStyle w:val="13"/>
        <w:spacing w:before="71"/>
        <w:rPr>
          <w:b/>
          <w:bCs/>
          <w:color w:val="auto"/>
          <w:sz w:val="24"/>
          <w:szCs w:val="24"/>
        </w:rPr>
      </w:pPr>
      <w:r>
        <w:rPr>
          <w:b/>
          <w:bCs/>
          <w:color w:val="auto"/>
        </w:rPr>
        <w:t>附件</w:t>
      </w:r>
      <w:r>
        <w:rPr>
          <w:rFonts w:hint="eastAsia"/>
          <w:b/>
          <w:bCs/>
          <w:color w:val="auto"/>
          <w:lang w:val="en-US" w:eastAsia="zh-CN"/>
        </w:rPr>
        <w:t>七</w:t>
      </w:r>
      <w:r>
        <w:rPr>
          <w:b/>
          <w:bCs/>
          <w:color w:val="auto"/>
        </w:rPr>
        <w:t>：</w:t>
      </w:r>
      <w:r>
        <w:rPr>
          <w:b/>
          <w:bCs/>
          <w:color w:val="auto"/>
          <w:sz w:val="24"/>
          <w:szCs w:val="24"/>
        </w:rPr>
        <w:t>工程质量、安全及文明施工</w:t>
      </w:r>
      <w:r>
        <w:rPr>
          <w:rFonts w:hint="eastAsia"/>
          <w:b/>
          <w:bCs/>
          <w:color w:val="auto"/>
          <w:sz w:val="24"/>
          <w:szCs w:val="24"/>
          <w:lang w:val="en-US" w:eastAsia="zh-CN"/>
        </w:rPr>
        <w:t>处罚</w:t>
      </w:r>
      <w:r>
        <w:rPr>
          <w:b/>
          <w:bCs/>
          <w:color w:val="auto"/>
          <w:sz w:val="24"/>
          <w:szCs w:val="24"/>
        </w:rPr>
        <w:t>项目一览表</w:t>
      </w:r>
    </w:p>
    <w:tbl>
      <w:tblPr>
        <w:tblStyle w:val="25"/>
        <w:tblW w:w="96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931"/>
        <w:gridCol w:w="810"/>
        <w:gridCol w:w="79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9" w:hRule="atLeast"/>
          <w:jc w:val="center"/>
        </w:trPr>
        <w:tc>
          <w:tcPr>
            <w:tcW w:w="931" w:type="dxa"/>
            <w:vAlign w:val="center"/>
          </w:tcPr>
          <w:p>
            <w:pPr>
              <w:pStyle w:val="32"/>
              <w:ind w:left="170" w:right="156"/>
              <w:jc w:val="center"/>
              <w:rPr>
                <w:color w:val="auto"/>
                <w:sz w:val="21"/>
              </w:rPr>
            </w:pPr>
            <w:r>
              <w:rPr>
                <w:color w:val="auto"/>
                <w:sz w:val="21"/>
              </w:rPr>
              <w:t>类别</w:t>
            </w:r>
          </w:p>
        </w:tc>
        <w:tc>
          <w:tcPr>
            <w:tcW w:w="810" w:type="dxa"/>
            <w:vAlign w:val="center"/>
          </w:tcPr>
          <w:p>
            <w:pPr>
              <w:pStyle w:val="32"/>
              <w:jc w:val="center"/>
              <w:rPr>
                <w:color w:val="auto"/>
                <w:sz w:val="21"/>
              </w:rPr>
            </w:pPr>
            <w:r>
              <w:rPr>
                <w:color w:val="auto"/>
                <w:sz w:val="21"/>
              </w:rPr>
              <w:t>序号</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center"/>
              <w:textAlignment w:val="auto"/>
              <w:rPr>
                <w:color w:val="auto"/>
                <w:sz w:val="21"/>
              </w:rPr>
            </w:pPr>
            <w:r>
              <w:rPr>
                <w:rFonts w:hint="eastAsia"/>
                <w:color w:val="auto"/>
                <w:sz w:val="21"/>
                <w:lang w:val="en-US" w:eastAsia="zh-CN"/>
              </w:rPr>
              <w:t>处罚</w:t>
            </w:r>
            <w:r>
              <w:rPr>
                <w:color w:val="auto"/>
                <w:sz w:val="21"/>
              </w:rPr>
              <w:t>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59" w:hRule="atLeast"/>
          <w:jc w:val="center"/>
        </w:trPr>
        <w:tc>
          <w:tcPr>
            <w:tcW w:w="931" w:type="dxa"/>
            <w:vMerge w:val="restart"/>
            <w:vAlign w:val="center"/>
          </w:tcPr>
          <w:p>
            <w:pPr>
              <w:pStyle w:val="32"/>
              <w:spacing w:before="11"/>
              <w:jc w:val="center"/>
              <w:rPr>
                <w:color w:val="auto"/>
                <w:sz w:val="19"/>
              </w:rPr>
            </w:pPr>
          </w:p>
          <w:p>
            <w:pPr>
              <w:pStyle w:val="32"/>
              <w:spacing w:before="1" w:line="255" w:lineRule="exact"/>
              <w:ind w:right="156"/>
              <w:jc w:val="center"/>
              <w:rPr>
                <w:color w:val="auto"/>
                <w:sz w:val="21"/>
              </w:rPr>
            </w:pPr>
            <w:r>
              <w:rPr>
                <w:rFonts w:ascii="宋体" w:hAnsi="宋体" w:eastAsia="宋体" w:cs="宋体"/>
                <w:color w:val="auto"/>
                <w:spacing w:val="10"/>
                <w:sz w:val="23"/>
                <w:szCs w:val="23"/>
              </w:rPr>
              <w:t>路基及砌体工程</w:t>
            </w:r>
          </w:p>
        </w:tc>
        <w:tc>
          <w:tcPr>
            <w:tcW w:w="810" w:type="dxa"/>
            <w:vAlign w:val="center"/>
          </w:tcPr>
          <w:p>
            <w:pPr>
              <w:pStyle w:val="32"/>
              <w:jc w:val="center"/>
              <w:rPr>
                <w:color w:val="auto"/>
                <w:sz w:val="21"/>
              </w:rPr>
            </w:pPr>
            <w:r>
              <w:rPr>
                <w:color w:val="auto"/>
                <w:sz w:val="21"/>
              </w:rPr>
              <w:t>1</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填土没有路拱（要求2%—4%），排水不畅的；路基施工未采取临时防护排水措施的，每处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9"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2</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路基平整度不符合规范要求的，每处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9"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3</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93区和95区填土未经平地机整平就进行压实施工的，每处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0"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4</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填土松铺厚度超过30cm或压实厚度超过25cm的，每处</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5</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路槽底面以下0-80cm范围内，填料最大粒径不超过10cm，在80cm以下的填料最大粒径不超过15cm。违者每次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2"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6</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路基填土应按规定作液限、塑限指数及CBR值试验。违者每次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9"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7</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确保填方边坡碾压密实，边坡坡面要夯实，路基宽度在设计基础上每边超填不小于50cm，等植草前刷坡。违者每处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9" w:hRule="atLeast"/>
          <w:jc w:val="center"/>
        </w:trPr>
        <w:tc>
          <w:tcPr>
            <w:tcW w:w="931" w:type="dxa"/>
            <w:vMerge w:val="continue"/>
            <w:vAlign w:val="center"/>
          </w:tcPr>
          <w:p>
            <w:pPr>
              <w:pStyle w:val="32"/>
              <w:spacing w:before="1" w:line="255" w:lineRule="exact"/>
              <w:ind w:left="170" w:right="156"/>
              <w:jc w:val="center"/>
              <w:rPr>
                <w:color w:val="auto"/>
                <w:sz w:val="21"/>
              </w:rPr>
            </w:pPr>
          </w:p>
        </w:tc>
        <w:tc>
          <w:tcPr>
            <w:tcW w:w="810" w:type="dxa"/>
            <w:vAlign w:val="center"/>
          </w:tcPr>
          <w:p>
            <w:pPr>
              <w:pStyle w:val="32"/>
              <w:jc w:val="center"/>
              <w:rPr>
                <w:color w:val="auto"/>
                <w:sz w:val="21"/>
              </w:rPr>
            </w:pPr>
            <w:r>
              <w:rPr>
                <w:color w:val="auto"/>
                <w:sz w:val="21"/>
              </w:rPr>
              <w:t>8</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填土压实度达不到设计要求的，每检测段</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2" w:hRule="atLeast"/>
          <w:jc w:val="center"/>
        </w:trPr>
        <w:tc>
          <w:tcPr>
            <w:tcW w:w="931" w:type="dxa"/>
            <w:vMerge w:val="continue"/>
            <w:vAlign w:val="center"/>
          </w:tcPr>
          <w:p>
            <w:pPr>
              <w:pStyle w:val="32"/>
              <w:spacing w:before="91"/>
              <w:ind w:left="190"/>
              <w:jc w:val="center"/>
              <w:rPr>
                <w:color w:val="auto"/>
                <w:sz w:val="21"/>
              </w:rPr>
            </w:pPr>
          </w:p>
        </w:tc>
        <w:tc>
          <w:tcPr>
            <w:tcW w:w="810" w:type="dxa"/>
            <w:vAlign w:val="center"/>
          </w:tcPr>
          <w:p>
            <w:pPr>
              <w:pStyle w:val="32"/>
              <w:jc w:val="center"/>
              <w:rPr>
                <w:color w:val="auto"/>
                <w:sz w:val="21"/>
              </w:rPr>
            </w:pPr>
            <w:r>
              <w:rPr>
                <w:color w:val="auto"/>
                <w:sz w:val="21"/>
              </w:rPr>
              <w:t>9</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石方路基靠近边坡范围采用光面爆破，爆破后及时清理险石、松石，违者每处违约金2，000元。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0" w:hRule="atLeast"/>
          <w:jc w:val="center"/>
        </w:trPr>
        <w:tc>
          <w:tcPr>
            <w:tcW w:w="931" w:type="dxa"/>
            <w:vMerge w:val="continue"/>
            <w:vAlign w:val="center"/>
          </w:tcPr>
          <w:p>
            <w:pPr>
              <w:jc w:val="center"/>
              <w:rPr>
                <w:color w:val="auto"/>
                <w:sz w:val="2"/>
                <w:szCs w:val="2"/>
              </w:rPr>
            </w:pPr>
          </w:p>
        </w:tc>
        <w:tc>
          <w:tcPr>
            <w:tcW w:w="810" w:type="dxa"/>
            <w:vAlign w:val="center"/>
          </w:tcPr>
          <w:p>
            <w:pPr>
              <w:pStyle w:val="32"/>
              <w:jc w:val="center"/>
              <w:rPr>
                <w:color w:val="auto"/>
                <w:sz w:val="21"/>
              </w:rPr>
            </w:pPr>
            <w:r>
              <w:rPr>
                <w:color w:val="auto"/>
                <w:sz w:val="21"/>
              </w:rPr>
              <w:t>10</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路堤填石要求逐层水平填筑石块，摆放平整，码砌边部，空隙用石渣石屑嵌压稳定，石块尺寸符合规范要求，违者每处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4"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11</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粉喷桩应严格控制喷粉时间、停粉时间、水泥喷入量，不得中断喷粉，确保喷粉桩长度，桩身上部范围必须进行二次搅拌，违者每次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12</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软基换填处理未将软土清除干净就进行回填施工的，每处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9"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13</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软基处理未按要求进行沉降和稳定性观测的，每次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4"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14</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软基路段施工前应调查软土分布范围、软土深度，进行土工试验，发现与设计不符的，应通知监理人，违者每次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09"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15</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袋装砂井施工中，砂袋未垂吊、灌沙不饱满的，每根违约金2,000元。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16</w:t>
            </w:r>
          </w:p>
        </w:tc>
        <w:tc>
          <w:tcPr>
            <w:tcW w:w="7912" w:type="dxa"/>
            <w:vAlign w:val="center"/>
          </w:tcPr>
          <w:p>
            <w:pPr>
              <w:pStyle w:val="32"/>
              <w:keepNext w:val="0"/>
              <w:keepLines w:val="0"/>
              <w:pageBreakBefore w:val="0"/>
              <w:widowControl w:val="0"/>
              <w:kinsoku/>
              <w:wordWrap/>
              <w:overflowPunct/>
              <w:topLinePunct w:val="0"/>
              <w:autoSpaceDE w:val="0"/>
              <w:autoSpaceDN w:val="0"/>
              <w:bidi w:val="0"/>
              <w:adjustRightInd/>
              <w:snapToGrid/>
              <w:ind w:left="33" w:leftChars="15" w:right="33" w:rightChars="15"/>
              <w:jc w:val="left"/>
              <w:textAlignment w:val="auto"/>
              <w:rPr>
                <w:color w:val="auto"/>
                <w:sz w:val="21"/>
              </w:rPr>
            </w:pPr>
            <w:r>
              <w:rPr>
                <w:color w:val="auto"/>
                <w:sz w:val="21"/>
              </w:rPr>
              <w:t>袋装砂井、砂袋织物和塑料排水板的材料质量必须符合设计要求，违者每处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31"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color w:val="auto"/>
                <w:sz w:val="21"/>
              </w:rPr>
            </w:pPr>
            <w:r>
              <w:rPr>
                <w:color w:val="auto"/>
                <w:sz w:val="21"/>
              </w:rPr>
              <w:t>17</w:t>
            </w:r>
          </w:p>
        </w:tc>
        <w:tc>
          <w:tcPr>
            <w:tcW w:w="7912" w:type="dxa"/>
            <w:vAlign w:val="top"/>
          </w:tcPr>
          <w:p>
            <w:pPr>
              <w:pStyle w:val="32"/>
              <w:spacing w:line="242" w:lineRule="auto"/>
              <w:ind w:left="106" w:leftChars="0" w:right="90" w:rightChars="0"/>
              <w:rPr>
                <w:color w:val="auto"/>
                <w:sz w:val="21"/>
              </w:rPr>
            </w:pPr>
            <w:r>
              <w:rPr>
                <w:color w:val="auto"/>
                <w:sz w:val="21"/>
              </w:rPr>
              <w:t>土工格栅、土工布等土工材料质量不符合设计要求，搭接宽度、搭接方式不符合有关要求的，每处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816" w:hRule="atLeast"/>
          <w:jc w:val="center"/>
        </w:trPr>
        <w:tc>
          <w:tcPr>
            <w:tcW w:w="931" w:type="dxa"/>
            <w:vMerge w:val="continue"/>
            <w:vAlign w:val="center"/>
          </w:tcPr>
          <w:p>
            <w:pPr>
              <w:pStyle w:val="32"/>
              <w:jc w:val="center"/>
              <w:rPr>
                <w:rFonts w:ascii="Times New Roman"/>
                <w:color w:val="auto"/>
                <w:sz w:val="20"/>
              </w:rPr>
            </w:pPr>
          </w:p>
        </w:tc>
        <w:tc>
          <w:tcPr>
            <w:tcW w:w="810" w:type="dxa"/>
            <w:vAlign w:val="center"/>
          </w:tcPr>
          <w:p>
            <w:pPr>
              <w:pStyle w:val="32"/>
              <w:jc w:val="center"/>
              <w:rPr>
                <w:rFonts w:hint="default" w:eastAsia="宋体"/>
                <w:color w:val="auto"/>
                <w:sz w:val="21"/>
                <w:lang w:val="en-US" w:eastAsia="zh-CN"/>
              </w:rPr>
            </w:pPr>
            <w:r>
              <w:rPr>
                <w:rFonts w:hint="eastAsia"/>
                <w:color w:val="auto"/>
                <w:sz w:val="21"/>
                <w:lang w:val="en-US" w:eastAsia="zh-CN"/>
              </w:rPr>
              <w:t>18</w:t>
            </w:r>
          </w:p>
        </w:tc>
        <w:tc>
          <w:tcPr>
            <w:tcW w:w="7912" w:type="dxa"/>
            <w:vAlign w:val="center"/>
          </w:tcPr>
          <w:p>
            <w:pPr>
              <w:spacing w:before="39" w:line="227" w:lineRule="auto"/>
              <w:ind w:left="112"/>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砌体工程不满足下列规定者，每项罚款2,000元，并作返工处理：</w:t>
            </w:r>
          </w:p>
          <w:p>
            <w:pPr>
              <w:spacing w:before="28" w:line="227"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(1)不得采用风化石，表面石料粒径需≥30cm；</w:t>
            </w:r>
          </w:p>
          <w:p>
            <w:pPr>
              <w:spacing w:before="28" w:line="238" w:lineRule="auto"/>
              <w:ind w:left="114" w:right="177" w:firstLine="9"/>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(2)构造物表面平顺，无凹凸扭曲现象，砂浆抹边的棱角线、平直度：2m拉线(直尺)检查≤10mm；</w:t>
            </w:r>
          </w:p>
          <w:p>
            <w:pPr>
              <w:spacing w:before="30" w:line="227"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(3)上边坡护面墙砌体一律勾凹缝；</w:t>
            </w:r>
          </w:p>
          <w:p>
            <w:pPr>
              <w:spacing w:before="29" w:line="227"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(4)勾缝不得有瞎缝、丢缝、裂纹和脱落现象，缝宽统一；</w:t>
            </w:r>
          </w:p>
          <w:p>
            <w:pPr>
              <w:spacing w:before="26" w:line="228"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(5)石缝不大于40mm，砌缝内砂浆均匀饱满，不得有空洞；</w:t>
            </w:r>
          </w:p>
          <w:p>
            <w:pPr>
              <w:spacing w:before="30" w:line="227"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(6)层间错缝不大于80mm，三块石相接空隙不大于70mm；</w:t>
            </w:r>
          </w:p>
          <w:p>
            <w:pPr>
              <w:spacing w:before="30" w:line="227" w:lineRule="auto"/>
              <w:ind w:left="124"/>
              <w:rPr>
                <w:rFonts w:ascii="宋体" w:hAnsi="宋体" w:eastAsia="宋体" w:cs="宋体"/>
                <w:color w:val="auto"/>
                <w:sz w:val="21"/>
                <w:szCs w:val="22"/>
                <w:lang w:val="zh-CN" w:eastAsia="zh-CN" w:bidi="zh-CN"/>
              </w:rPr>
            </w:pPr>
            <w:r>
              <w:rPr>
                <w:rFonts w:ascii="宋体" w:hAnsi="宋体" w:eastAsia="宋体" w:cs="宋体"/>
                <w:color w:val="auto"/>
                <w:sz w:val="21"/>
                <w:szCs w:val="22"/>
                <w:lang w:val="zh-CN" w:eastAsia="zh-CN" w:bidi="zh-CN"/>
              </w:rPr>
              <w:t>(7)砂浆抹面，平整度用2m直尺检查≤8mm，不得有裂缝、空鼓现象；(8)泄水孔排列整齐、按设计设置坡度，无堵塞现象；</w:t>
            </w:r>
          </w:p>
          <w:p>
            <w:pPr>
              <w:spacing w:before="30" w:line="227" w:lineRule="auto"/>
              <w:ind w:left="124"/>
              <w:rPr>
                <w:color w:val="auto"/>
                <w:sz w:val="21"/>
              </w:rPr>
            </w:pPr>
            <w:r>
              <w:rPr>
                <w:rFonts w:hint="eastAsia" w:ascii="宋体" w:hAnsi="宋体" w:eastAsia="宋体" w:cs="宋体"/>
                <w:color w:val="auto"/>
                <w:sz w:val="21"/>
                <w:szCs w:val="22"/>
                <w:lang w:val="en-US" w:eastAsia="zh-CN" w:bidi="zh-CN"/>
              </w:rPr>
              <w:t>(9)</w:t>
            </w:r>
            <w:r>
              <w:rPr>
                <w:rFonts w:ascii="宋体" w:hAnsi="宋体" w:eastAsia="宋体" w:cs="宋体"/>
                <w:color w:val="auto"/>
                <w:sz w:val="21"/>
                <w:szCs w:val="22"/>
                <w:lang w:val="zh-CN" w:eastAsia="zh-CN" w:bidi="zh-CN"/>
              </w:rPr>
              <w:t>截水沟与实际地形砌顺，要求线形顺畅，地形无变化时，不得出现弯曲。</w:t>
            </w:r>
          </w:p>
        </w:tc>
      </w:tr>
    </w:tbl>
    <w:p>
      <w:pPr>
        <w:spacing w:line="360" w:lineRule="atLeast"/>
        <w:rPr>
          <w:color w:val="auto"/>
          <w:sz w:val="21"/>
        </w:rPr>
        <w:sectPr>
          <w:pgSz w:w="11911" w:h="16838"/>
          <w:pgMar w:top="1247" w:right="1134" w:bottom="1247" w:left="1134" w:header="737" w:footer="850" w:gutter="0"/>
          <w:pgNumType w:fmt="numberInDash"/>
          <w:cols w:space="0" w:num="1"/>
          <w:rtlGutter w:val="0"/>
          <w:docGrid w:linePitch="0" w:charSpace="0"/>
        </w:sectPr>
      </w:pPr>
    </w:p>
    <w:tbl>
      <w:tblPr>
        <w:tblStyle w:val="25"/>
        <w:tblW w:w="96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915"/>
        <w:gridCol w:w="749"/>
        <w:gridCol w:w="7952"/>
      </w:tblGrid>
      <w:tr>
        <w:tblPrEx>
          <w:tblCellMar>
            <w:top w:w="0" w:type="dxa"/>
            <w:left w:w="0" w:type="dxa"/>
            <w:bottom w:w="0" w:type="dxa"/>
            <w:right w:w="0" w:type="dxa"/>
          </w:tblCellMar>
        </w:tblPrEx>
        <w:trPr>
          <w:trHeight w:val="2543" w:hRule="atLeast"/>
          <w:jc w:val="center"/>
        </w:trPr>
        <w:tc>
          <w:tcPr>
            <w:tcW w:w="915" w:type="dxa"/>
            <w:vMerge w:val="restart"/>
            <w:tcBorders>
              <w:top w:val="nil"/>
              <w:left w:val="single" w:color="auto" w:sz="4" w:space="0"/>
              <w:right w:val="single" w:color="auto" w:sz="4" w:space="0"/>
            </w:tcBorders>
          </w:tcPr>
          <w:p>
            <w:pPr>
              <w:rPr>
                <w:color w:val="auto"/>
                <w:sz w:val="2"/>
                <w:szCs w:val="2"/>
              </w:rPr>
            </w:pPr>
          </w:p>
        </w:tc>
        <w:tc>
          <w:tcPr>
            <w:tcW w:w="749" w:type="dxa"/>
            <w:tcBorders>
              <w:left w:val="single" w:color="auto" w:sz="4" w:space="0"/>
            </w:tcBorders>
            <w:vAlign w:val="center"/>
          </w:tcPr>
          <w:p>
            <w:pPr>
              <w:pStyle w:val="32"/>
              <w:spacing w:before="133"/>
              <w:jc w:val="center"/>
              <w:rPr>
                <w:color w:val="auto"/>
                <w:sz w:val="21"/>
              </w:rPr>
            </w:pPr>
            <w:r>
              <w:rPr>
                <w:color w:val="auto"/>
                <w:sz w:val="21"/>
              </w:rPr>
              <w:t>19</w:t>
            </w:r>
          </w:p>
        </w:tc>
        <w:tc>
          <w:tcPr>
            <w:tcW w:w="7952" w:type="dxa"/>
          </w:tcPr>
          <w:p>
            <w:pPr>
              <w:spacing w:before="36" w:line="227" w:lineRule="auto"/>
              <w:ind w:left="112"/>
              <w:rPr>
                <w:rFonts w:ascii="宋体" w:hAnsi="宋体" w:eastAsia="宋体" w:cs="宋体"/>
                <w:color w:val="auto"/>
                <w:sz w:val="23"/>
                <w:szCs w:val="23"/>
              </w:rPr>
            </w:pPr>
            <w:r>
              <w:rPr>
                <w:rFonts w:ascii="宋体" w:hAnsi="宋体" w:eastAsia="宋体" w:cs="宋体"/>
                <w:color w:val="auto"/>
                <w:spacing w:val="9"/>
                <w:sz w:val="23"/>
                <w:szCs w:val="23"/>
              </w:rPr>
              <w:t>浆</w:t>
            </w:r>
            <w:r>
              <w:rPr>
                <w:rFonts w:ascii="宋体" w:hAnsi="宋体" w:eastAsia="宋体" w:cs="宋体"/>
                <w:color w:val="auto"/>
                <w:spacing w:val="8"/>
                <w:sz w:val="23"/>
                <w:szCs w:val="23"/>
              </w:rPr>
              <w:t>砌工程存在下列情况之一的，罚款2,000元：</w:t>
            </w:r>
          </w:p>
          <w:p>
            <w:pPr>
              <w:spacing w:before="26" w:line="227" w:lineRule="auto"/>
              <w:ind w:left="124"/>
              <w:rPr>
                <w:rFonts w:ascii="宋体" w:hAnsi="宋体" w:eastAsia="宋体" w:cs="宋体"/>
                <w:color w:val="auto"/>
                <w:sz w:val="23"/>
                <w:szCs w:val="23"/>
              </w:rPr>
            </w:pPr>
            <w:r>
              <w:rPr>
                <w:rFonts w:ascii="宋体" w:hAnsi="宋体" w:eastAsia="宋体" w:cs="宋体"/>
                <w:color w:val="auto"/>
                <w:spacing w:val="15"/>
                <w:sz w:val="23"/>
                <w:szCs w:val="23"/>
              </w:rPr>
              <w:t>(1)铺砌厚度不满足要求</w:t>
            </w:r>
            <w:r>
              <w:rPr>
                <w:rFonts w:ascii="宋体" w:hAnsi="宋体" w:eastAsia="宋体" w:cs="宋体"/>
                <w:color w:val="auto"/>
                <w:spacing w:val="14"/>
                <w:sz w:val="23"/>
                <w:szCs w:val="23"/>
              </w:rPr>
              <w:t>；</w:t>
            </w:r>
          </w:p>
          <w:p>
            <w:pPr>
              <w:spacing w:before="29" w:line="227" w:lineRule="auto"/>
              <w:ind w:left="124"/>
              <w:rPr>
                <w:rFonts w:ascii="宋体" w:hAnsi="宋体" w:eastAsia="宋体" w:cs="宋体"/>
                <w:color w:val="auto"/>
                <w:sz w:val="23"/>
                <w:szCs w:val="23"/>
              </w:rPr>
            </w:pPr>
            <w:r>
              <w:rPr>
                <w:rFonts w:ascii="宋体" w:hAnsi="宋体" w:eastAsia="宋体" w:cs="宋体"/>
                <w:color w:val="auto"/>
                <w:spacing w:val="23"/>
                <w:sz w:val="23"/>
                <w:szCs w:val="23"/>
              </w:rPr>
              <w:t>(</w:t>
            </w:r>
            <w:r>
              <w:rPr>
                <w:rFonts w:ascii="宋体" w:hAnsi="宋体" w:eastAsia="宋体" w:cs="宋体"/>
                <w:color w:val="auto"/>
                <w:spacing w:val="14"/>
                <w:sz w:val="23"/>
                <w:szCs w:val="23"/>
              </w:rPr>
              <w:t>2)垫层厚度不满足要求的；</w:t>
            </w:r>
          </w:p>
          <w:p>
            <w:pPr>
              <w:spacing w:before="29" w:line="227" w:lineRule="auto"/>
              <w:ind w:left="124"/>
              <w:rPr>
                <w:rFonts w:ascii="宋体" w:hAnsi="宋体" w:eastAsia="宋体" w:cs="宋体"/>
                <w:color w:val="auto"/>
                <w:sz w:val="23"/>
                <w:szCs w:val="23"/>
              </w:rPr>
            </w:pPr>
            <w:r>
              <w:rPr>
                <w:rFonts w:ascii="宋体" w:hAnsi="宋体" w:eastAsia="宋体" w:cs="宋体"/>
                <w:color w:val="auto"/>
                <w:spacing w:val="15"/>
                <w:sz w:val="23"/>
                <w:szCs w:val="23"/>
              </w:rPr>
              <w:t>(3)砌缝内砂浆不饱满的</w:t>
            </w:r>
            <w:r>
              <w:rPr>
                <w:rFonts w:ascii="宋体" w:hAnsi="宋体" w:eastAsia="宋体" w:cs="宋体"/>
                <w:color w:val="auto"/>
                <w:spacing w:val="14"/>
                <w:sz w:val="23"/>
                <w:szCs w:val="23"/>
              </w:rPr>
              <w:t>；</w:t>
            </w:r>
          </w:p>
          <w:p>
            <w:pPr>
              <w:spacing w:before="28" w:line="227" w:lineRule="auto"/>
              <w:ind w:left="124"/>
              <w:rPr>
                <w:rFonts w:ascii="宋体" w:hAnsi="宋体" w:eastAsia="宋体" w:cs="宋体"/>
                <w:color w:val="auto"/>
                <w:sz w:val="23"/>
                <w:szCs w:val="23"/>
              </w:rPr>
            </w:pPr>
            <w:r>
              <w:rPr>
                <w:rFonts w:ascii="宋体" w:hAnsi="宋体" w:eastAsia="宋体" w:cs="宋体"/>
                <w:color w:val="auto"/>
                <w:spacing w:val="23"/>
                <w:sz w:val="23"/>
                <w:szCs w:val="23"/>
              </w:rPr>
              <w:t>(</w:t>
            </w:r>
            <w:r>
              <w:rPr>
                <w:rFonts w:ascii="宋体" w:hAnsi="宋体" w:eastAsia="宋体" w:cs="宋体"/>
                <w:color w:val="auto"/>
                <w:spacing w:val="14"/>
                <w:sz w:val="23"/>
                <w:szCs w:val="23"/>
              </w:rPr>
              <w:t>4)砂浆不采用机械拌和的；</w:t>
            </w:r>
          </w:p>
          <w:p>
            <w:pPr>
              <w:spacing w:before="27" w:line="228" w:lineRule="auto"/>
              <w:ind w:left="124"/>
              <w:rPr>
                <w:rFonts w:ascii="宋体" w:hAnsi="宋体" w:eastAsia="宋体" w:cs="宋体"/>
                <w:color w:val="auto"/>
                <w:sz w:val="23"/>
                <w:szCs w:val="23"/>
              </w:rPr>
            </w:pPr>
            <w:r>
              <w:rPr>
                <w:rFonts w:ascii="宋体" w:hAnsi="宋体" w:eastAsia="宋体" w:cs="宋体"/>
                <w:color w:val="auto"/>
                <w:spacing w:val="24"/>
                <w:sz w:val="23"/>
                <w:szCs w:val="23"/>
              </w:rPr>
              <w:t>(</w:t>
            </w:r>
            <w:r>
              <w:rPr>
                <w:rFonts w:ascii="宋体" w:hAnsi="宋体" w:eastAsia="宋体" w:cs="宋体"/>
                <w:color w:val="auto"/>
                <w:spacing w:val="15"/>
                <w:sz w:val="23"/>
                <w:szCs w:val="23"/>
              </w:rPr>
              <w:t>5)砌缝没有错开的；</w:t>
            </w:r>
          </w:p>
          <w:p>
            <w:pPr>
              <w:spacing w:before="28" w:line="227" w:lineRule="auto"/>
              <w:ind w:left="124"/>
              <w:rPr>
                <w:rFonts w:ascii="宋体" w:hAnsi="宋体" w:eastAsia="宋体" w:cs="宋体"/>
                <w:color w:val="auto"/>
                <w:sz w:val="23"/>
                <w:szCs w:val="23"/>
              </w:rPr>
            </w:pPr>
            <w:r>
              <w:rPr>
                <w:rFonts w:ascii="宋体" w:hAnsi="宋体" w:eastAsia="宋体" w:cs="宋体"/>
                <w:color w:val="auto"/>
                <w:spacing w:val="15"/>
                <w:sz w:val="23"/>
                <w:szCs w:val="23"/>
              </w:rPr>
              <w:t>(</w:t>
            </w:r>
            <w:r>
              <w:rPr>
                <w:rFonts w:ascii="宋体" w:hAnsi="宋体" w:eastAsia="宋体" w:cs="宋体"/>
                <w:color w:val="auto"/>
                <w:spacing w:val="14"/>
                <w:sz w:val="23"/>
                <w:szCs w:val="23"/>
              </w:rPr>
              <w:t>6)砂浆强度达不到规定要求的；</w:t>
            </w:r>
          </w:p>
          <w:p>
            <w:pPr>
              <w:spacing w:before="26" w:line="227" w:lineRule="auto"/>
              <w:ind w:left="124"/>
              <w:rPr>
                <w:rFonts w:ascii="宋体" w:hAnsi="宋体" w:eastAsia="宋体" w:cs="宋体"/>
                <w:color w:val="auto"/>
                <w:sz w:val="23"/>
                <w:szCs w:val="23"/>
              </w:rPr>
            </w:pPr>
            <w:r>
              <w:rPr>
                <w:rFonts w:ascii="宋体" w:hAnsi="宋体" w:eastAsia="宋体" w:cs="宋体"/>
                <w:color w:val="auto"/>
                <w:spacing w:val="13"/>
                <w:sz w:val="23"/>
                <w:szCs w:val="23"/>
              </w:rPr>
              <w:t>(7)沟底未清理干净，有浮土、泥浆等杂物的；</w:t>
            </w:r>
          </w:p>
          <w:p>
            <w:pPr>
              <w:pStyle w:val="32"/>
              <w:numPr>
                <w:ilvl w:val="0"/>
                <w:numId w:val="0"/>
              </w:numPr>
              <w:tabs>
                <w:tab w:val="left" w:pos="633"/>
              </w:tabs>
              <w:spacing w:before="2"/>
              <w:ind w:left="106" w:leftChars="0"/>
              <w:rPr>
                <w:color w:val="auto"/>
                <w:sz w:val="21"/>
              </w:rPr>
            </w:pPr>
            <w:r>
              <w:rPr>
                <w:rFonts w:ascii="宋体" w:hAnsi="宋体" w:eastAsia="宋体" w:cs="宋体"/>
                <w:color w:val="auto"/>
                <w:spacing w:val="15"/>
                <w:sz w:val="23"/>
                <w:szCs w:val="23"/>
              </w:rPr>
              <w:t>(8)施工后不进行养护的</w:t>
            </w:r>
            <w:r>
              <w:rPr>
                <w:rFonts w:ascii="宋体" w:hAnsi="宋体" w:eastAsia="宋体" w:cs="宋体"/>
                <w:color w:val="auto"/>
                <w:spacing w:val="14"/>
                <w:sz w:val="23"/>
                <w:szCs w:val="23"/>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9" w:hRule="atLeast"/>
          <w:jc w:val="center"/>
        </w:trPr>
        <w:tc>
          <w:tcPr>
            <w:tcW w:w="915" w:type="dxa"/>
            <w:vMerge w:val="continue"/>
            <w:tcBorders>
              <w:top w:val="nil"/>
              <w:left w:val="single" w:color="auto" w:sz="4" w:space="0"/>
              <w:right w:val="single" w:color="auto" w:sz="4" w:space="0"/>
            </w:tcBorders>
          </w:tcPr>
          <w:p>
            <w:pPr>
              <w:rPr>
                <w:color w:val="auto"/>
                <w:sz w:val="2"/>
                <w:szCs w:val="2"/>
              </w:rPr>
            </w:pPr>
          </w:p>
        </w:tc>
        <w:tc>
          <w:tcPr>
            <w:tcW w:w="749" w:type="dxa"/>
            <w:tcBorders>
              <w:left w:val="single" w:color="auto" w:sz="4" w:space="0"/>
            </w:tcBorders>
            <w:vAlign w:val="center"/>
          </w:tcPr>
          <w:p>
            <w:pPr>
              <w:pStyle w:val="32"/>
              <w:jc w:val="center"/>
              <w:rPr>
                <w:color w:val="auto"/>
                <w:sz w:val="21"/>
              </w:rPr>
            </w:pPr>
            <w:r>
              <w:rPr>
                <w:color w:val="auto"/>
                <w:sz w:val="21"/>
              </w:rPr>
              <w:t>20</w:t>
            </w:r>
          </w:p>
        </w:tc>
        <w:tc>
          <w:tcPr>
            <w:tcW w:w="7952" w:type="dxa"/>
          </w:tcPr>
          <w:p>
            <w:pPr>
              <w:pStyle w:val="32"/>
              <w:numPr>
                <w:ilvl w:val="0"/>
                <w:numId w:val="0"/>
              </w:numPr>
              <w:tabs>
                <w:tab w:val="left" w:pos="633"/>
              </w:tabs>
              <w:spacing w:before="4"/>
              <w:rPr>
                <w:color w:val="auto"/>
                <w:sz w:val="21"/>
              </w:rPr>
            </w:pPr>
            <w:r>
              <w:rPr>
                <w:rFonts w:ascii="宋体" w:hAnsi="宋体" w:eastAsia="宋体" w:cs="宋体"/>
                <w:color w:val="auto"/>
                <w:spacing w:val="14"/>
                <w:sz w:val="23"/>
                <w:szCs w:val="23"/>
              </w:rPr>
              <w:t>排</w:t>
            </w:r>
            <w:r>
              <w:rPr>
                <w:rFonts w:ascii="宋体" w:hAnsi="宋体" w:eastAsia="宋体" w:cs="宋体"/>
                <w:color w:val="auto"/>
                <w:spacing w:val="8"/>
                <w:sz w:val="23"/>
                <w:szCs w:val="23"/>
              </w:rPr>
              <w:t>水盲沟断面不符合设计要求，回填碎石含泥量超标的，土工布铺设不符合</w:t>
            </w:r>
            <w:r>
              <w:rPr>
                <w:rFonts w:ascii="宋体" w:hAnsi="宋体" w:eastAsia="宋体" w:cs="宋体"/>
                <w:color w:val="auto"/>
                <w:spacing w:val="12"/>
                <w:sz w:val="23"/>
                <w:szCs w:val="23"/>
              </w:rPr>
              <w:t>要</w:t>
            </w:r>
            <w:r>
              <w:rPr>
                <w:rFonts w:ascii="宋体" w:hAnsi="宋体" w:eastAsia="宋体" w:cs="宋体"/>
                <w:color w:val="auto"/>
                <w:spacing w:val="7"/>
                <w:sz w:val="23"/>
                <w:szCs w:val="23"/>
              </w:rPr>
              <w:t>求的，违者每处罚款2,000元。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9" w:hRule="atLeast"/>
          <w:jc w:val="center"/>
        </w:trPr>
        <w:tc>
          <w:tcPr>
            <w:tcW w:w="915" w:type="dxa"/>
            <w:vMerge w:val="restart"/>
            <w:tcBorders>
              <w:left w:val="single" w:color="auto" w:sz="4" w:space="0"/>
              <w:right w:val="single" w:color="auto" w:sz="4" w:space="0"/>
            </w:tcBorders>
            <w:vAlign w:val="center"/>
          </w:tcPr>
          <w:p>
            <w:pPr>
              <w:pStyle w:val="32"/>
              <w:jc w:val="center"/>
              <w:rPr>
                <w:rFonts w:hint="eastAsia" w:ascii="Times New Roman"/>
                <w:color w:val="auto"/>
                <w:sz w:val="24"/>
                <w:szCs w:val="32"/>
                <w:lang w:val="en-US" w:eastAsia="zh-CN"/>
              </w:rPr>
            </w:pPr>
            <w:r>
              <w:rPr>
                <w:rFonts w:hint="eastAsia" w:ascii="Times New Roman"/>
                <w:color w:val="auto"/>
                <w:sz w:val="24"/>
                <w:szCs w:val="32"/>
                <w:lang w:val="en-US" w:eastAsia="zh-CN"/>
              </w:rPr>
              <w:t>桥涵</w:t>
            </w:r>
          </w:p>
          <w:p>
            <w:pPr>
              <w:pStyle w:val="32"/>
              <w:jc w:val="center"/>
              <w:rPr>
                <w:rFonts w:hint="default" w:ascii="Times New Roman" w:eastAsia="宋体"/>
                <w:color w:val="auto"/>
                <w:sz w:val="24"/>
                <w:szCs w:val="32"/>
                <w:lang w:val="en-US" w:eastAsia="zh-CN"/>
              </w:rPr>
            </w:pPr>
            <w:r>
              <w:rPr>
                <w:rFonts w:hint="eastAsia" w:ascii="Times New Roman"/>
                <w:color w:val="auto"/>
                <w:sz w:val="24"/>
                <w:szCs w:val="32"/>
                <w:lang w:val="en-US" w:eastAsia="zh-CN"/>
              </w:rPr>
              <w:t>工程</w:t>
            </w:r>
          </w:p>
        </w:tc>
        <w:tc>
          <w:tcPr>
            <w:tcW w:w="749" w:type="dxa"/>
            <w:tcBorders>
              <w:left w:val="single" w:color="auto" w:sz="4" w:space="0"/>
            </w:tcBorders>
            <w:vAlign w:val="center"/>
          </w:tcPr>
          <w:p>
            <w:pPr>
              <w:pStyle w:val="32"/>
              <w:spacing w:before="3"/>
              <w:jc w:val="center"/>
              <w:rPr>
                <w:rFonts w:ascii="Times New Roman"/>
                <w:color w:val="auto"/>
                <w:sz w:val="19"/>
              </w:rPr>
            </w:pPr>
          </w:p>
          <w:p>
            <w:pPr>
              <w:pStyle w:val="32"/>
              <w:ind w:left="229"/>
              <w:jc w:val="center"/>
              <w:rPr>
                <w:color w:val="auto"/>
                <w:sz w:val="21"/>
              </w:rPr>
            </w:pPr>
            <w:r>
              <w:rPr>
                <w:color w:val="auto"/>
                <w:sz w:val="21"/>
              </w:rPr>
              <w:t>1</w:t>
            </w:r>
          </w:p>
        </w:tc>
        <w:tc>
          <w:tcPr>
            <w:tcW w:w="7952" w:type="dxa"/>
          </w:tcPr>
          <w:p>
            <w:pPr>
              <w:pStyle w:val="32"/>
              <w:spacing w:before="86" w:line="242" w:lineRule="auto"/>
              <w:ind w:left="106" w:right="90"/>
              <w:rPr>
                <w:color w:val="auto"/>
                <w:sz w:val="21"/>
              </w:rPr>
            </w:pPr>
            <w:r>
              <w:rPr>
                <w:color w:val="auto"/>
                <w:sz w:val="21"/>
              </w:rPr>
              <w:t>防撞栏出现大量麻面；线形有明显波折、错台；墙角或接缝漏浆；表面多处露筋，每十米</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0"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center"/>
          </w:tcPr>
          <w:p>
            <w:pPr>
              <w:pStyle w:val="32"/>
              <w:spacing w:before="86"/>
              <w:ind w:left="229"/>
              <w:jc w:val="center"/>
              <w:rPr>
                <w:color w:val="auto"/>
                <w:sz w:val="21"/>
              </w:rPr>
            </w:pPr>
            <w:r>
              <w:rPr>
                <w:color w:val="auto"/>
                <w:sz w:val="21"/>
              </w:rPr>
              <w:t>2</w:t>
            </w:r>
          </w:p>
        </w:tc>
        <w:tc>
          <w:tcPr>
            <w:tcW w:w="7952" w:type="dxa"/>
          </w:tcPr>
          <w:p>
            <w:pPr>
              <w:pStyle w:val="32"/>
              <w:spacing w:before="86"/>
              <w:ind w:left="107"/>
              <w:rPr>
                <w:color w:val="auto"/>
                <w:sz w:val="21"/>
              </w:rPr>
            </w:pPr>
            <w:r>
              <w:rPr>
                <w:color w:val="auto"/>
                <w:sz w:val="21"/>
              </w:rPr>
              <w:t>构造物不按要求进行养生的，每处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1"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center"/>
          </w:tcPr>
          <w:p>
            <w:pPr>
              <w:pStyle w:val="32"/>
              <w:spacing w:before="86"/>
              <w:ind w:left="229"/>
              <w:jc w:val="center"/>
              <w:rPr>
                <w:color w:val="auto"/>
                <w:sz w:val="21"/>
              </w:rPr>
            </w:pPr>
            <w:r>
              <w:rPr>
                <w:color w:val="auto"/>
                <w:sz w:val="21"/>
              </w:rPr>
              <w:t>3</w:t>
            </w:r>
          </w:p>
        </w:tc>
        <w:tc>
          <w:tcPr>
            <w:tcW w:w="7952" w:type="dxa"/>
          </w:tcPr>
          <w:p>
            <w:pPr>
              <w:pStyle w:val="32"/>
              <w:spacing w:before="86"/>
              <w:ind w:left="107" w:right="-15"/>
              <w:rPr>
                <w:color w:val="auto"/>
                <w:sz w:val="21"/>
              </w:rPr>
            </w:pPr>
            <w:r>
              <w:rPr>
                <w:color w:val="auto"/>
                <w:spacing w:val="-5"/>
                <w:sz w:val="21"/>
              </w:rPr>
              <w:t>构造物施工未采取措施保证钢筋保护层厚度就浇筑砼的，每次</w:t>
            </w:r>
            <w:r>
              <w:rPr>
                <w:rFonts w:hint="eastAsia"/>
                <w:color w:val="auto"/>
                <w:sz w:val="21"/>
                <w:lang w:val="en-US" w:eastAsia="zh-CN"/>
              </w:rPr>
              <w:t>罚款</w:t>
            </w:r>
            <w:r>
              <w:rPr>
                <w:color w:val="auto"/>
                <w:sz w:val="21"/>
              </w:rPr>
              <w:t>2,000</w:t>
            </w:r>
            <w:r>
              <w:rPr>
                <w:color w:val="auto"/>
                <w:spacing w:val="-22"/>
                <w:sz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line="462" w:lineRule="auto"/>
              <w:rPr>
                <w:rFonts w:ascii="Arial"/>
                <w:color w:val="auto"/>
                <w:sz w:val="21"/>
              </w:rPr>
            </w:pPr>
          </w:p>
          <w:p>
            <w:pPr>
              <w:spacing w:before="75" w:line="192" w:lineRule="auto"/>
              <w:ind w:left="310" w:leftChars="0"/>
              <w:rPr>
                <w:color w:val="auto"/>
                <w:sz w:val="21"/>
              </w:rPr>
            </w:pPr>
            <w:r>
              <w:rPr>
                <w:rFonts w:ascii="宋体" w:hAnsi="宋体" w:eastAsia="宋体" w:cs="宋体"/>
                <w:color w:val="auto"/>
                <w:sz w:val="23"/>
                <w:szCs w:val="23"/>
              </w:rPr>
              <w:t>4</w:t>
            </w:r>
          </w:p>
        </w:tc>
        <w:tc>
          <w:tcPr>
            <w:tcW w:w="7952" w:type="dxa"/>
            <w:vAlign w:val="top"/>
          </w:tcPr>
          <w:p>
            <w:pPr>
              <w:spacing w:before="37" w:line="228" w:lineRule="auto"/>
              <w:ind w:left="120"/>
              <w:rPr>
                <w:rFonts w:ascii="宋体" w:hAnsi="宋体" w:eastAsia="宋体" w:cs="宋体"/>
                <w:color w:val="auto"/>
                <w:sz w:val="23"/>
                <w:szCs w:val="23"/>
              </w:rPr>
            </w:pPr>
            <w:r>
              <w:rPr>
                <w:rFonts w:ascii="宋体" w:hAnsi="宋体" w:eastAsia="宋体" w:cs="宋体"/>
                <w:color w:val="auto"/>
                <w:spacing w:val="9"/>
                <w:sz w:val="23"/>
                <w:szCs w:val="23"/>
              </w:rPr>
              <w:t>下</w:t>
            </w:r>
            <w:r>
              <w:rPr>
                <w:rFonts w:ascii="宋体" w:hAnsi="宋体" w:eastAsia="宋体" w:cs="宋体"/>
                <w:color w:val="auto"/>
                <w:spacing w:val="7"/>
                <w:sz w:val="23"/>
                <w:szCs w:val="23"/>
              </w:rPr>
              <w:t>列情况，违者每次罚款2,000元：</w:t>
            </w:r>
          </w:p>
          <w:p>
            <w:pPr>
              <w:spacing w:before="28" w:line="224" w:lineRule="auto"/>
              <w:ind w:left="124"/>
              <w:rPr>
                <w:rFonts w:ascii="宋体" w:hAnsi="宋体" w:eastAsia="宋体" w:cs="宋体"/>
                <w:color w:val="auto"/>
                <w:sz w:val="23"/>
                <w:szCs w:val="23"/>
              </w:rPr>
            </w:pPr>
            <w:r>
              <w:rPr>
                <w:rFonts w:ascii="宋体" w:hAnsi="宋体" w:eastAsia="宋体" w:cs="宋体"/>
                <w:color w:val="auto"/>
                <w:spacing w:val="13"/>
                <w:sz w:val="23"/>
                <w:szCs w:val="23"/>
              </w:rPr>
              <w:t>(</w:t>
            </w:r>
            <w:r>
              <w:rPr>
                <w:rFonts w:ascii="宋体" w:hAnsi="宋体" w:eastAsia="宋体" w:cs="宋体"/>
                <w:color w:val="auto"/>
                <w:spacing w:val="12"/>
                <w:sz w:val="23"/>
                <w:szCs w:val="23"/>
              </w:rPr>
              <w:t>1)伸缩缝位置必须保证满足设计要求,装时必须按气温来确定安装宽度；</w:t>
            </w:r>
          </w:p>
          <w:p>
            <w:pPr>
              <w:spacing w:before="30" w:line="227" w:lineRule="auto"/>
              <w:ind w:left="124"/>
              <w:rPr>
                <w:rFonts w:ascii="宋体" w:hAnsi="宋体" w:eastAsia="宋体" w:cs="宋体"/>
                <w:color w:val="auto"/>
                <w:sz w:val="23"/>
                <w:szCs w:val="23"/>
              </w:rPr>
            </w:pPr>
            <w:r>
              <w:rPr>
                <w:rFonts w:ascii="宋体" w:hAnsi="宋体" w:eastAsia="宋体" w:cs="宋体"/>
                <w:color w:val="auto"/>
                <w:spacing w:val="14"/>
                <w:sz w:val="23"/>
                <w:szCs w:val="23"/>
              </w:rPr>
              <w:t>(2)预留槽口底面的砼必须密实、平整</w:t>
            </w:r>
            <w:r>
              <w:rPr>
                <w:rFonts w:ascii="宋体" w:hAnsi="宋体" w:eastAsia="宋体" w:cs="宋体"/>
                <w:color w:val="auto"/>
                <w:spacing w:val="12"/>
                <w:sz w:val="23"/>
                <w:szCs w:val="23"/>
              </w:rPr>
              <w:t>；</w:t>
            </w:r>
          </w:p>
          <w:p>
            <w:pPr>
              <w:spacing w:before="28" w:line="223" w:lineRule="auto"/>
              <w:ind w:left="124" w:leftChars="0"/>
              <w:rPr>
                <w:color w:val="auto"/>
                <w:spacing w:val="-5"/>
                <w:sz w:val="21"/>
              </w:rPr>
            </w:pPr>
            <w:r>
              <w:rPr>
                <w:rFonts w:ascii="宋体" w:hAnsi="宋体" w:eastAsia="宋体" w:cs="宋体"/>
                <w:color w:val="auto"/>
                <w:spacing w:val="26"/>
                <w:sz w:val="23"/>
                <w:szCs w:val="23"/>
              </w:rPr>
              <w:t>(</w:t>
            </w:r>
            <w:r>
              <w:rPr>
                <w:rFonts w:ascii="宋体" w:hAnsi="宋体" w:eastAsia="宋体" w:cs="宋体"/>
                <w:color w:val="auto"/>
                <w:spacing w:val="14"/>
                <w:sz w:val="23"/>
                <w:szCs w:val="23"/>
              </w:rPr>
              <w:t>3</w:t>
            </w:r>
            <w:r>
              <w:rPr>
                <w:rFonts w:ascii="宋体" w:hAnsi="宋体" w:eastAsia="宋体" w:cs="宋体"/>
                <w:color w:val="auto"/>
                <w:spacing w:val="13"/>
                <w:sz w:val="23"/>
                <w:szCs w:val="23"/>
              </w:rPr>
              <w:t>)在填充前必须保证干净，不得有杂物。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3" w:line="189" w:lineRule="auto"/>
              <w:ind w:left="316" w:leftChars="0"/>
              <w:rPr>
                <w:color w:val="auto"/>
                <w:sz w:val="21"/>
              </w:rPr>
            </w:pPr>
            <w:r>
              <w:rPr>
                <w:rFonts w:ascii="宋体" w:hAnsi="宋体" w:eastAsia="宋体" w:cs="宋体"/>
                <w:color w:val="auto"/>
                <w:sz w:val="23"/>
                <w:szCs w:val="23"/>
              </w:rPr>
              <w:t>5</w:t>
            </w:r>
          </w:p>
        </w:tc>
        <w:tc>
          <w:tcPr>
            <w:tcW w:w="7952" w:type="dxa"/>
            <w:vAlign w:val="top"/>
          </w:tcPr>
          <w:p>
            <w:pPr>
              <w:spacing w:before="38" w:line="236" w:lineRule="auto"/>
              <w:ind w:left="114" w:leftChars="0" w:right="107" w:rightChars="0" w:firstLine="3" w:firstLineChars="0"/>
              <w:rPr>
                <w:color w:val="auto"/>
                <w:spacing w:val="-5"/>
                <w:sz w:val="21"/>
              </w:rPr>
            </w:pPr>
            <w:r>
              <w:rPr>
                <w:rFonts w:ascii="宋体" w:hAnsi="宋体" w:eastAsia="宋体" w:cs="宋体"/>
                <w:color w:val="auto"/>
                <w:spacing w:val="8"/>
                <w:sz w:val="23"/>
                <w:szCs w:val="23"/>
              </w:rPr>
              <w:t>张</w:t>
            </w:r>
            <w:r>
              <w:rPr>
                <w:rFonts w:ascii="宋体" w:hAnsi="宋体" w:eastAsia="宋体" w:cs="宋体"/>
                <w:color w:val="auto"/>
                <w:spacing w:val="5"/>
                <w:sz w:val="23"/>
                <w:szCs w:val="23"/>
              </w:rPr>
              <w:t>拉</w:t>
            </w:r>
            <w:r>
              <w:rPr>
                <w:rFonts w:ascii="宋体" w:hAnsi="宋体" w:eastAsia="宋体" w:cs="宋体"/>
                <w:color w:val="auto"/>
                <w:spacing w:val="4"/>
                <w:sz w:val="23"/>
                <w:szCs w:val="23"/>
              </w:rPr>
              <w:t>千斤顶没有按规范要求标定，造成拉力不符设计要求的，每次罚款2,000</w:t>
            </w:r>
            <w:r>
              <w:rPr>
                <w:rFonts w:ascii="宋体" w:hAnsi="宋体" w:eastAsia="宋体" w:cs="宋体"/>
                <w:color w:val="auto"/>
                <w:spacing w:val="-1"/>
                <w:sz w:val="23"/>
                <w:szCs w:val="23"/>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91"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75" w:line="190" w:lineRule="auto"/>
              <w:ind w:left="313" w:leftChars="0"/>
              <w:rPr>
                <w:color w:val="auto"/>
                <w:sz w:val="21"/>
              </w:rPr>
            </w:pPr>
            <w:r>
              <w:rPr>
                <w:rFonts w:ascii="宋体" w:hAnsi="宋体" w:eastAsia="宋体" w:cs="宋体"/>
                <w:color w:val="auto"/>
                <w:sz w:val="23"/>
                <w:szCs w:val="23"/>
              </w:rPr>
              <w:t>6</w:t>
            </w:r>
          </w:p>
        </w:tc>
        <w:tc>
          <w:tcPr>
            <w:tcW w:w="7952" w:type="dxa"/>
            <w:vAlign w:val="top"/>
          </w:tcPr>
          <w:p>
            <w:pPr>
              <w:spacing w:before="38" w:line="223" w:lineRule="auto"/>
              <w:ind w:left="114" w:leftChars="0"/>
              <w:rPr>
                <w:color w:val="auto"/>
                <w:spacing w:val="-5"/>
                <w:sz w:val="21"/>
              </w:rPr>
            </w:pPr>
            <w:r>
              <w:rPr>
                <w:rFonts w:ascii="宋体" w:hAnsi="宋体" w:eastAsia="宋体" w:cs="宋体"/>
                <w:color w:val="auto"/>
                <w:spacing w:val="8"/>
                <w:sz w:val="23"/>
                <w:szCs w:val="23"/>
              </w:rPr>
              <w:t>预应力筋有</w:t>
            </w:r>
            <w:r>
              <w:rPr>
                <w:rFonts w:ascii="宋体" w:hAnsi="宋体" w:eastAsia="宋体" w:cs="宋体"/>
                <w:color w:val="auto"/>
                <w:spacing w:val="5"/>
                <w:sz w:val="23"/>
                <w:szCs w:val="23"/>
              </w:rPr>
              <w:t>烧</w:t>
            </w:r>
            <w:r>
              <w:rPr>
                <w:rFonts w:ascii="宋体" w:hAnsi="宋体" w:eastAsia="宋体" w:cs="宋体"/>
                <w:color w:val="auto"/>
                <w:spacing w:val="4"/>
                <w:sz w:val="23"/>
                <w:szCs w:val="23"/>
              </w:rPr>
              <w:t>伤或划伤，必须立即撤换，违者每次罚款5,000元。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8"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80" w:line="189" w:lineRule="auto"/>
              <w:ind w:left="317" w:leftChars="0"/>
              <w:rPr>
                <w:color w:val="auto"/>
                <w:sz w:val="21"/>
              </w:rPr>
            </w:pPr>
            <w:r>
              <w:rPr>
                <w:rFonts w:ascii="宋体" w:hAnsi="宋体" w:eastAsia="宋体" w:cs="宋体"/>
                <w:color w:val="auto"/>
                <w:sz w:val="23"/>
                <w:szCs w:val="23"/>
              </w:rPr>
              <w:t>7</w:t>
            </w:r>
          </w:p>
        </w:tc>
        <w:tc>
          <w:tcPr>
            <w:tcW w:w="7952" w:type="dxa"/>
            <w:vAlign w:val="top"/>
          </w:tcPr>
          <w:p>
            <w:pPr>
              <w:spacing w:before="40" w:line="221" w:lineRule="auto"/>
              <w:ind w:left="114" w:leftChars="0"/>
              <w:rPr>
                <w:color w:val="auto"/>
                <w:spacing w:val="-5"/>
                <w:sz w:val="21"/>
              </w:rPr>
            </w:pPr>
            <w:r>
              <w:rPr>
                <w:rFonts w:ascii="宋体" w:hAnsi="宋体" w:eastAsia="宋体" w:cs="宋体"/>
                <w:color w:val="auto"/>
                <w:spacing w:val="16"/>
                <w:sz w:val="23"/>
                <w:szCs w:val="23"/>
              </w:rPr>
              <w:t>预</w:t>
            </w:r>
            <w:r>
              <w:rPr>
                <w:rFonts w:ascii="宋体" w:hAnsi="宋体" w:eastAsia="宋体" w:cs="宋体"/>
                <w:color w:val="auto"/>
                <w:spacing w:val="15"/>
                <w:sz w:val="23"/>
                <w:szCs w:val="23"/>
              </w:rPr>
              <w:t>应</w:t>
            </w:r>
            <w:r>
              <w:rPr>
                <w:rFonts w:ascii="宋体" w:hAnsi="宋体" w:eastAsia="宋体" w:cs="宋体"/>
                <w:color w:val="auto"/>
                <w:spacing w:val="8"/>
                <w:sz w:val="23"/>
                <w:szCs w:val="23"/>
              </w:rPr>
              <w:t>力筋因施工不当造成断丝且无法补救时，每次罚款8,000元。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3" w:line="190" w:lineRule="auto"/>
              <w:ind w:left="312" w:leftChars="0"/>
              <w:rPr>
                <w:color w:val="auto"/>
                <w:sz w:val="21"/>
              </w:rPr>
            </w:pPr>
            <w:r>
              <w:rPr>
                <w:rFonts w:ascii="宋体" w:hAnsi="宋体" w:eastAsia="宋体" w:cs="宋体"/>
                <w:color w:val="auto"/>
                <w:sz w:val="23"/>
                <w:szCs w:val="23"/>
              </w:rPr>
              <w:t>8</w:t>
            </w:r>
          </w:p>
        </w:tc>
        <w:tc>
          <w:tcPr>
            <w:tcW w:w="7952" w:type="dxa"/>
            <w:vAlign w:val="top"/>
          </w:tcPr>
          <w:p>
            <w:pPr>
              <w:spacing w:before="39" w:line="236" w:lineRule="auto"/>
              <w:ind w:left="114" w:leftChars="0" w:right="177" w:rightChars="0"/>
              <w:rPr>
                <w:color w:val="auto"/>
                <w:spacing w:val="-5"/>
                <w:sz w:val="21"/>
              </w:rPr>
            </w:pPr>
            <w:r>
              <w:rPr>
                <w:rFonts w:ascii="宋体" w:hAnsi="宋体" w:eastAsia="宋体" w:cs="宋体"/>
                <w:color w:val="auto"/>
                <w:spacing w:val="10"/>
                <w:sz w:val="23"/>
                <w:szCs w:val="23"/>
              </w:rPr>
              <w:t>预制梁施工必须符合设计要求，吊装位置准确，标高误差±1</w:t>
            </w:r>
            <w:r>
              <w:rPr>
                <w:rFonts w:ascii="宋体" w:hAnsi="宋体" w:eastAsia="宋体" w:cs="宋体"/>
                <w:color w:val="auto"/>
                <w:sz w:val="23"/>
                <w:szCs w:val="23"/>
              </w:rPr>
              <w:t>cm</w:t>
            </w:r>
            <w:r>
              <w:rPr>
                <w:rFonts w:ascii="宋体" w:hAnsi="宋体" w:eastAsia="宋体" w:cs="宋体"/>
                <w:color w:val="auto"/>
                <w:spacing w:val="10"/>
                <w:sz w:val="23"/>
                <w:szCs w:val="23"/>
              </w:rPr>
              <w:t>，违者罚</w:t>
            </w:r>
            <w:r>
              <w:rPr>
                <w:rFonts w:ascii="宋体" w:hAnsi="宋体" w:eastAsia="宋体" w:cs="宋体"/>
                <w:color w:val="auto"/>
                <w:spacing w:val="3"/>
                <w:sz w:val="23"/>
                <w:szCs w:val="23"/>
              </w:rPr>
              <w:t>款</w:t>
            </w:r>
            <w:r>
              <w:rPr>
                <w:rFonts w:ascii="宋体" w:hAnsi="宋体" w:eastAsia="宋体" w:cs="宋体"/>
                <w:color w:val="auto"/>
                <w:spacing w:val="4"/>
                <w:sz w:val="23"/>
                <w:szCs w:val="23"/>
              </w:rPr>
              <w:t>2</w:t>
            </w:r>
            <w:r>
              <w:rPr>
                <w:rFonts w:ascii="宋体" w:hAnsi="宋体" w:eastAsia="宋体" w:cs="宋体"/>
                <w:color w:val="auto"/>
                <w:spacing w:val="3"/>
                <w:sz w:val="23"/>
                <w:szCs w:val="23"/>
              </w:rPr>
              <w:t>,000元。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1" w:line="190" w:lineRule="auto"/>
              <w:ind w:left="312" w:leftChars="0"/>
              <w:rPr>
                <w:color w:val="auto"/>
                <w:sz w:val="21"/>
              </w:rPr>
            </w:pPr>
            <w:r>
              <w:rPr>
                <w:rFonts w:ascii="宋体" w:hAnsi="宋体" w:eastAsia="宋体" w:cs="宋体"/>
                <w:color w:val="auto"/>
                <w:sz w:val="23"/>
                <w:szCs w:val="23"/>
              </w:rPr>
              <w:t>9</w:t>
            </w:r>
          </w:p>
        </w:tc>
        <w:tc>
          <w:tcPr>
            <w:tcW w:w="7952" w:type="dxa"/>
            <w:vAlign w:val="top"/>
          </w:tcPr>
          <w:p>
            <w:pPr>
              <w:spacing w:before="38" w:line="236" w:lineRule="auto"/>
              <w:ind w:left="115" w:leftChars="0" w:right="417" w:rightChars="0"/>
              <w:rPr>
                <w:color w:val="auto"/>
                <w:spacing w:val="-5"/>
                <w:sz w:val="21"/>
              </w:rPr>
            </w:pPr>
            <w:r>
              <w:rPr>
                <w:rFonts w:ascii="宋体" w:hAnsi="宋体" w:eastAsia="宋体" w:cs="宋体"/>
                <w:color w:val="auto"/>
                <w:spacing w:val="18"/>
                <w:sz w:val="23"/>
                <w:szCs w:val="23"/>
              </w:rPr>
              <w:t>一</w:t>
            </w:r>
            <w:r>
              <w:rPr>
                <w:rFonts w:ascii="宋体" w:hAnsi="宋体" w:eastAsia="宋体" w:cs="宋体"/>
                <w:color w:val="auto"/>
                <w:spacing w:val="13"/>
                <w:sz w:val="23"/>
                <w:szCs w:val="23"/>
              </w:rPr>
              <w:t>个</w:t>
            </w:r>
            <w:r>
              <w:rPr>
                <w:rFonts w:ascii="宋体" w:hAnsi="宋体" w:eastAsia="宋体" w:cs="宋体"/>
                <w:color w:val="auto"/>
                <w:spacing w:val="9"/>
                <w:sz w:val="23"/>
                <w:szCs w:val="23"/>
              </w:rPr>
              <w:t>自检的钢筋骨架中钢筋焊接长度不足及焊缝不饱满超过3处的，罚款</w:t>
            </w:r>
            <w:r>
              <w:rPr>
                <w:rFonts w:ascii="宋体" w:hAnsi="宋体" w:eastAsia="宋体" w:cs="宋体"/>
                <w:color w:val="auto"/>
                <w:spacing w:val="4"/>
                <w:sz w:val="23"/>
                <w:szCs w:val="23"/>
              </w:rPr>
              <w:t>2</w:t>
            </w:r>
            <w:r>
              <w:rPr>
                <w:rFonts w:ascii="宋体" w:hAnsi="宋体" w:eastAsia="宋体" w:cs="宋体"/>
                <w:color w:val="auto"/>
                <w:spacing w:val="3"/>
                <w:sz w:val="23"/>
                <w:szCs w:val="23"/>
              </w:rPr>
              <w:t>,000元。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1" w:line="191" w:lineRule="auto"/>
              <w:ind w:left="269" w:leftChars="0"/>
              <w:rPr>
                <w:color w:val="auto"/>
                <w:sz w:val="21"/>
              </w:rPr>
            </w:pPr>
            <w:r>
              <w:rPr>
                <w:rFonts w:ascii="宋体" w:hAnsi="宋体" w:eastAsia="宋体" w:cs="宋体"/>
                <w:color w:val="auto"/>
                <w:spacing w:val="-10"/>
                <w:sz w:val="23"/>
                <w:szCs w:val="23"/>
              </w:rPr>
              <w:t>1</w:t>
            </w:r>
            <w:r>
              <w:rPr>
                <w:rFonts w:ascii="宋体" w:hAnsi="宋体" w:eastAsia="宋体" w:cs="宋体"/>
                <w:color w:val="auto"/>
                <w:spacing w:val="-8"/>
                <w:sz w:val="23"/>
                <w:szCs w:val="23"/>
              </w:rPr>
              <w:t>0</w:t>
            </w:r>
          </w:p>
        </w:tc>
        <w:tc>
          <w:tcPr>
            <w:tcW w:w="7952" w:type="dxa"/>
            <w:vAlign w:val="top"/>
          </w:tcPr>
          <w:p>
            <w:pPr>
              <w:spacing w:before="39" w:line="236" w:lineRule="auto"/>
              <w:ind w:left="113" w:leftChars="0" w:right="177" w:rightChars="0" w:firstLine="2" w:firstLineChars="0"/>
              <w:rPr>
                <w:color w:val="auto"/>
                <w:spacing w:val="-5"/>
                <w:sz w:val="21"/>
              </w:rPr>
            </w:pPr>
            <w:r>
              <w:rPr>
                <w:rFonts w:ascii="宋体" w:hAnsi="宋体" w:eastAsia="宋体" w:cs="宋体"/>
                <w:color w:val="auto"/>
                <w:spacing w:val="9"/>
                <w:sz w:val="23"/>
                <w:szCs w:val="23"/>
              </w:rPr>
              <w:t>一个经过自检的钢筋骨架有3处钢筋间距(包括主筋和构造筋)不符合规</w:t>
            </w:r>
            <w:r>
              <w:rPr>
                <w:rFonts w:ascii="宋体" w:hAnsi="宋体" w:eastAsia="宋体" w:cs="宋体"/>
                <w:color w:val="auto"/>
                <w:spacing w:val="5"/>
                <w:sz w:val="23"/>
                <w:szCs w:val="23"/>
              </w:rPr>
              <w:t>范</w:t>
            </w:r>
            <w:r>
              <w:rPr>
                <w:rFonts w:ascii="宋体" w:hAnsi="宋体" w:eastAsia="宋体" w:cs="宋体"/>
                <w:color w:val="auto"/>
                <w:spacing w:val="8"/>
                <w:sz w:val="23"/>
                <w:szCs w:val="23"/>
              </w:rPr>
              <w:t>要</w:t>
            </w:r>
            <w:r>
              <w:rPr>
                <w:rFonts w:ascii="宋体" w:hAnsi="宋体" w:eastAsia="宋体" w:cs="宋体"/>
                <w:color w:val="auto"/>
                <w:spacing w:val="6"/>
                <w:sz w:val="23"/>
                <w:szCs w:val="23"/>
              </w:rPr>
              <w:t>求的罚款2,000元。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58"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156" w:line="192" w:lineRule="auto"/>
              <w:ind w:left="269" w:leftChars="0"/>
              <w:rPr>
                <w:color w:val="auto"/>
                <w:sz w:val="21"/>
              </w:rPr>
            </w:pPr>
            <w:r>
              <w:rPr>
                <w:rFonts w:ascii="宋体" w:hAnsi="宋体" w:eastAsia="宋体" w:cs="宋体"/>
                <w:color w:val="auto"/>
                <w:spacing w:val="-10"/>
                <w:sz w:val="23"/>
                <w:szCs w:val="23"/>
              </w:rPr>
              <w:t>1</w:t>
            </w:r>
            <w:r>
              <w:rPr>
                <w:rFonts w:ascii="宋体" w:hAnsi="宋体" w:eastAsia="宋体" w:cs="宋体"/>
                <w:color w:val="auto"/>
                <w:spacing w:val="-8"/>
                <w:sz w:val="23"/>
                <w:szCs w:val="23"/>
              </w:rPr>
              <w:t>1</w:t>
            </w:r>
          </w:p>
        </w:tc>
        <w:tc>
          <w:tcPr>
            <w:tcW w:w="7952" w:type="dxa"/>
            <w:vAlign w:val="top"/>
          </w:tcPr>
          <w:p>
            <w:pPr>
              <w:spacing w:before="119" w:line="227" w:lineRule="auto"/>
              <w:ind w:left="111" w:leftChars="0"/>
              <w:rPr>
                <w:color w:val="auto"/>
                <w:spacing w:val="-5"/>
                <w:sz w:val="21"/>
              </w:rPr>
            </w:pPr>
            <w:r>
              <w:rPr>
                <w:rFonts w:ascii="宋体" w:hAnsi="宋体" w:eastAsia="宋体" w:cs="宋体"/>
                <w:color w:val="auto"/>
                <w:spacing w:val="16"/>
                <w:sz w:val="23"/>
                <w:szCs w:val="23"/>
              </w:rPr>
              <w:t>钢筋</w:t>
            </w:r>
            <w:r>
              <w:rPr>
                <w:rFonts w:ascii="宋体" w:hAnsi="宋体" w:eastAsia="宋体" w:cs="宋体"/>
                <w:color w:val="auto"/>
                <w:spacing w:val="13"/>
                <w:sz w:val="23"/>
                <w:szCs w:val="23"/>
              </w:rPr>
              <w:t>骨</w:t>
            </w:r>
            <w:r>
              <w:rPr>
                <w:rFonts w:ascii="宋体" w:hAnsi="宋体" w:eastAsia="宋体" w:cs="宋体"/>
                <w:color w:val="auto"/>
                <w:spacing w:val="8"/>
                <w:sz w:val="23"/>
                <w:szCs w:val="23"/>
              </w:rPr>
              <w:t>架已生锈，在浇筑砼前未作去锈处理的，每次罚款2,000元。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54"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2" w:line="192" w:lineRule="auto"/>
              <w:ind w:left="269" w:leftChars="0"/>
              <w:rPr>
                <w:color w:val="auto"/>
                <w:sz w:val="21"/>
              </w:rPr>
            </w:pPr>
            <w:r>
              <w:rPr>
                <w:rFonts w:ascii="宋体" w:hAnsi="宋体" w:eastAsia="宋体" w:cs="宋体"/>
                <w:color w:val="auto"/>
                <w:spacing w:val="-10"/>
                <w:sz w:val="23"/>
                <w:szCs w:val="23"/>
              </w:rPr>
              <w:t>1</w:t>
            </w:r>
            <w:r>
              <w:rPr>
                <w:rFonts w:ascii="宋体" w:hAnsi="宋体" w:eastAsia="宋体" w:cs="宋体"/>
                <w:color w:val="auto"/>
                <w:spacing w:val="-8"/>
                <w:sz w:val="23"/>
                <w:szCs w:val="23"/>
              </w:rPr>
              <w:t>2</w:t>
            </w:r>
          </w:p>
        </w:tc>
        <w:tc>
          <w:tcPr>
            <w:tcW w:w="7952" w:type="dxa"/>
            <w:vAlign w:val="top"/>
          </w:tcPr>
          <w:p>
            <w:pPr>
              <w:spacing w:before="38" w:line="236" w:lineRule="auto"/>
              <w:ind w:left="114" w:leftChars="0" w:right="107" w:rightChars="0" w:hanging="2" w:firstLineChars="0"/>
              <w:rPr>
                <w:color w:val="auto"/>
                <w:spacing w:val="-5"/>
                <w:sz w:val="21"/>
              </w:rPr>
            </w:pPr>
            <w:r>
              <w:rPr>
                <w:rFonts w:ascii="宋体" w:hAnsi="宋体" w:eastAsia="宋体" w:cs="宋体"/>
                <w:color w:val="auto"/>
                <w:spacing w:val="15"/>
                <w:sz w:val="23"/>
                <w:szCs w:val="23"/>
              </w:rPr>
              <w:t>在</w:t>
            </w:r>
            <w:r>
              <w:rPr>
                <w:rFonts w:ascii="宋体" w:hAnsi="宋体" w:eastAsia="宋体" w:cs="宋体"/>
                <w:color w:val="auto"/>
                <w:spacing w:val="8"/>
                <w:sz w:val="23"/>
                <w:szCs w:val="23"/>
              </w:rPr>
              <w:t>钻孔桩的施工中泥浆循环系统未设沉淀池的，或沉淀池规格不符合有关要</w:t>
            </w:r>
            <w:r>
              <w:rPr>
                <w:rFonts w:ascii="宋体" w:hAnsi="宋体" w:eastAsia="宋体" w:cs="宋体"/>
                <w:color w:val="auto"/>
                <w:spacing w:val="12"/>
                <w:sz w:val="23"/>
                <w:szCs w:val="23"/>
              </w:rPr>
              <w:t>求</w:t>
            </w:r>
            <w:r>
              <w:rPr>
                <w:rFonts w:ascii="宋体" w:hAnsi="宋体" w:eastAsia="宋体" w:cs="宋体"/>
                <w:color w:val="auto"/>
                <w:spacing w:val="9"/>
                <w:sz w:val="23"/>
                <w:szCs w:val="23"/>
              </w:rPr>
              <w:t>的</w:t>
            </w:r>
            <w:r>
              <w:rPr>
                <w:rFonts w:ascii="宋体" w:hAnsi="宋体" w:eastAsia="宋体" w:cs="宋体"/>
                <w:color w:val="auto"/>
                <w:spacing w:val="6"/>
                <w:sz w:val="23"/>
                <w:szCs w:val="23"/>
              </w:rPr>
              <w:t>，每处罚款2,000元。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spacing w:before="230" w:line="191" w:lineRule="auto"/>
              <w:ind w:left="269" w:leftChars="0"/>
              <w:rPr>
                <w:rFonts w:ascii="宋体" w:hAnsi="宋体" w:eastAsia="宋体" w:cs="宋体"/>
                <w:color w:val="auto"/>
                <w:spacing w:val="-10"/>
                <w:sz w:val="23"/>
                <w:szCs w:val="23"/>
              </w:rPr>
            </w:pPr>
            <w:r>
              <w:rPr>
                <w:rFonts w:ascii="宋体" w:hAnsi="宋体" w:eastAsia="宋体" w:cs="宋体"/>
                <w:color w:val="auto"/>
                <w:spacing w:val="-10"/>
                <w:sz w:val="23"/>
                <w:szCs w:val="23"/>
              </w:rPr>
              <w:t>1</w:t>
            </w:r>
            <w:r>
              <w:rPr>
                <w:rFonts w:ascii="宋体" w:hAnsi="宋体" w:eastAsia="宋体" w:cs="宋体"/>
                <w:color w:val="auto"/>
                <w:spacing w:val="-8"/>
                <w:sz w:val="23"/>
                <w:szCs w:val="23"/>
              </w:rPr>
              <w:t>3</w:t>
            </w:r>
          </w:p>
        </w:tc>
        <w:tc>
          <w:tcPr>
            <w:tcW w:w="7952" w:type="dxa"/>
            <w:vAlign w:val="top"/>
          </w:tcPr>
          <w:p>
            <w:pPr>
              <w:spacing w:before="39" w:line="236" w:lineRule="auto"/>
              <w:ind w:left="116" w:leftChars="0" w:right="297" w:rightChars="0" w:hanging="4" w:firstLineChars="0"/>
              <w:rPr>
                <w:rFonts w:ascii="宋体" w:hAnsi="宋体" w:eastAsia="宋体" w:cs="宋体"/>
                <w:color w:val="auto"/>
                <w:spacing w:val="15"/>
                <w:sz w:val="23"/>
                <w:szCs w:val="23"/>
              </w:rPr>
            </w:pPr>
            <w:r>
              <w:rPr>
                <w:rFonts w:ascii="宋体" w:hAnsi="宋体" w:eastAsia="宋体" w:cs="宋体"/>
                <w:color w:val="auto"/>
                <w:spacing w:val="13"/>
                <w:sz w:val="23"/>
                <w:szCs w:val="23"/>
              </w:rPr>
              <w:t>桩</w:t>
            </w:r>
            <w:r>
              <w:rPr>
                <w:rFonts w:ascii="宋体" w:hAnsi="宋体" w:eastAsia="宋体" w:cs="宋体"/>
                <w:color w:val="auto"/>
                <w:spacing w:val="9"/>
                <w:sz w:val="23"/>
                <w:szCs w:val="23"/>
              </w:rPr>
              <w:t>基检测评定为</w:t>
            </w:r>
            <w:r>
              <w:rPr>
                <w:rFonts w:ascii="宋体" w:hAnsi="宋体" w:eastAsia="宋体" w:cs="宋体"/>
                <w:color w:val="auto"/>
                <w:sz w:val="23"/>
                <w:szCs w:val="23"/>
              </w:rPr>
              <w:t>C</w:t>
            </w:r>
            <w:r>
              <w:rPr>
                <w:rFonts w:ascii="宋体" w:hAnsi="宋体" w:eastAsia="宋体" w:cs="宋体"/>
                <w:color w:val="auto"/>
                <w:spacing w:val="9"/>
                <w:sz w:val="23"/>
                <w:szCs w:val="23"/>
              </w:rPr>
              <w:t>类桩的，每根罚款2,000元，出现不合格桩的，每根罚款</w:t>
            </w:r>
            <w:r>
              <w:rPr>
                <w:rFonts w:ascii="宋体" w:hAnsi="宋体" w:eastAsia="宋体" w:cs="宋体"/>
                <w:color w:val="auto"/>
                <w:spacing w:val="3"/>
                <w:sz w:val="23"/>
                <w:szCs w:val="23"/>
              </w:rPr>
              <w:t>5,000元</w:t>
            </w:r>
            <w:r>
              <w:rPr>
                <w:rFonts w:ascii="宋体" w:hAnsi="宋体" w:eastAsia="宋体" w:cs="宋体"/>
                <w:color w:val="auto"/>
                <w:spacing w:val="2"/>
                <w:sz w:val="23"/>
                <w:szCs w:val="23"/>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pStyle w:val="32"/>
              <w:spacing w:before="85"/>
              <w:ind w:left="176" w:leftChars="0"/>
              <w:rPr>
                <w:rFonts w:ascii="宋体" w:hAnsi="宋体" w:eastAsia="宋体" w:cs="宋体"/>
                <w:color w:val="auto"/>
                <w:spacing w:val="-10"/>
                <w:sz w:val="23"/>
                <w:szCs w:val="23"/>
              </w:rPr>
            </w:pPr>
            <w:r>
              <w:rPr>
                <w:color w:val="auto"/>
                <w:sz w:val="21"/>
              </w:rPr>
              <w:t>14</w:t>
            </w:r>
          </w:p>
        </w:tc>
        <w:tc>
          <w:tcPr>
            <w:tcW w:w="7952" w:type="dxa"/>
            <w:vAlign w:val="top"/>
          </w:tcPr>
          <w:p>
            <w:pPr>
              <w:pStyle w:val="32"/>
              <w:spacing w:before="85"/>
              <w:ind w:left="106" w:leftChars="0"/>
              <w:rPr>
                <w:rFonts w:ascii="宋体" w:hAnsi="宋体" w:eastAsia="宋体" w:cs="宋体"/>
                <w:color w:val="auto"/>
                <w:spacing w:val="13"/>
                <w:sz w:val="23"/>
                <w:szCs w:val="23"/>
              </w:rPr>
            </w:pPr>
            <w:r>
              <w:rPr>
                <w:color w:val="auto"/>
                <w:sz w:val="21"/>
              </w:rPr>
              <w:t>浇注砼时，自由下落高度超过2m而不用串筒的，每次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pStyle w:val="32"/>
              <w:spacing w:before="86"/>
              <w:ind w:left="176" w:leftChars="0"/>
              <w:rPr>
                <w:rFonts w:ascii="宋体" w:hAnsi="宋体" w:eastAsia="宋体" w:cs="宋体"/>
                <w:color w:val="auto"/>
                <w:spacing w:val="-10"/>
                <w:sz w:val="23"/>
                <w:szCs w:val="23"/>
              </w:rPr>
            </w:pPr>
            <w:r>
              <w:rPr>
                <w:color w:val="auto"/>
                <w:sz w:val="21"/>
              </w:rPr>
              <w:t>15</w:t>
            </w:r>
          </w:p>
        </w:tc>
        <w:tc>
          <w:tcPr>
            <w:tcW w:w="7952" w:type="dxa"/>
            <w:vAlign w:val="top"/>
          </w:tcPr>
          <w:p>
            <w:pPr>
              <w:pStyle w:val="32"/>
              <w:spacing w:before="86"/>
              <w:ind w:left="106" w:leftChars="0"/>
              <w:rPr>
                <w:rFonts w:ascii="宋体" w:hAnsi="宋体" w:eastAsia="宋体" w:cs="宋体"/>
                <w:color w:val="auto"/>
                <w:spacing w:val="13"/>
                <w:sz w:val="23"/>
                <w:szCs w:val="23"/>
              </w:rPr>
            </w:pPr>
            <w:r>
              <w:rPr>
                <w:color w:val="auto"/>
                <w:sz w:val="21"/>
              </w:rPr>
              <w:t>砼施工配合比不按重量比的，每次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pStyle w:val="32"/>
              <w:spacing w:before="86"/>
              <w:ind w:left="176" w:leftChars="0"/>
              <w:rPr>
                <w:rFonts w:ascii="宋体" w:hAnsi="宋体" w:eastAsia="宋体" w:cs="宋体"/>
                <w:color w:val="auto"/>
                <w:spacing w:val="-10"/>
                <w:sz w:val="23"/>
                <w:szCs w:val="23"/>
              </w:rPr>
            </w:pPr>
            <w:r>
              <w:rPr>
                <w:color w:val="auto"/>
                <w:sz w:val="21"/>
              </w:rPr>
              <w:t>16</w:t>
            </w:r>
          </w:p>
        </w:tc>
        <w:tc>
          <w:tcPr>
            <w:tcW w:w="7952" w:type="dxa"/>
            <w:vAlign w:val="top"/>
          </w:tcPr>
          <w:p>
            <w:pPr>
              <w:pStyle w:val="32"/>
              <w:spacing w:before="86"/>
              <w:ind w:left="106" w:leftChars="0"/>
              <w:rPr>
                <w:rFonts w:ascii="宋体" w:hAnsi="宋体" w:eastAsia="宋体" w:cs="宋体"/>
                <w:color w:val="auto"/>
                <w:spacing w:val="13"/>
                <w:sz w:val="23"/>
                <w:szCs w:val="23"/>
              </w:rPr>
            </w:pPr>
            <w:r>
              <w:rPr>
                <w:color w:val="auto"/>
                <w:sz w:val="21"/>
              </w:rPr>
              <w:t>两梁板之间接缝不得有杂物，填充料符合设计要求，违者</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pStyle w:val="32"/>
              <w:rPr>
                <w:rFonts w:ascii="Times New Roman"/>
                <w:color w:val="auto"/>
                <w:sz w:val="20"/>
              </w:rPr>
            </w:pPr>
          </w:p>
          <w:p>
            <w:pPr>
              <w:pStyle w:val="32"/>
              <w:spacing w:before="128"/>
              <w:ind w:left="176" w:leftChars="0"/>
              <w:rPr>
                <w:rFonts w:ascii="宋体" w:hAnsi="宋体" w:eastAsia="宋体" w:cs="宋体"/>
                <w:color w:val="auto"/>
                <w:spacing w:val="-10"/>
                <w:sz w:val="23"/>
                <w:szCs w:val="23"/>
              </w:rPr>
            </w:pPr>
            <w:r>
              <w:rPr>
                <w:color w:val="auto"/>
                <w:sz w:val="21"/>
              </w:rPr>
              <w:t>17</w:t>
            </w:r>
          </w:p>
        </w:tc>
        <w:tc>
          <w:tcPr>
            <w:tcW w:w="7952" w:type="dxa"/>
            <w:vAlign w:val="top"/>
          </w:tcPr>
          <w:p>
            <w:pPr>
              <w:pStyle w:val="32"/>
              <w:spacing w:before="86" w:line="242" w:lineRule="auto"/>
              <w:ind w:left="106" w:right="-15"/>
              <w:rPr>
                <w:rFonts w:ascii="宋体" w:hAnsi="宋体" w:eastAsia="宋体" w:cs="宋体"/>
                <w:color w:val="auto"/>
                <w:spacing w:val="13"/>
                <w:sz w:val="23"/>
                <w:szCs w:val="23"/>
              </w:rPr>
            </w:pPr>
            <w:r>
              <w:rPr>
                <w:color w:val="auto"/>
                <w:spacing w:val="-5"/>
                <w:sz w:val="21"/>
              </w:rPr>
              <w:t>砼拌和现场的称量和配水机械装置应维持良好状态，拌和机的容量要满足要求，</w:t>
            </w:r>
            <w:r>
              <w:rPr>
                <w:rFonts w:hint="eastAsia"/>
                <w:color w:val="auto"/>
                <w:sz w:val="21"/>
              </w:rPr>
              <w:t>标</w:t>
            </w:r>
            <w:r>
              <w:rPr>
                <w:color w:val="auto"/>
                <w:sz w:val="21"/>
              </w:rPr>
              <w:t>梁施工要具备应急拌和机。正在施工的现场不满足上述要求的，每次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jc w:val="center"/>
        </w:trPr>
        <w:tc>
          <w:tcPr>
            <w:tcW w:w="915" w:type="dxa"/>
            <w:vMerge w:val="continue"/>
            <w:tcBorders>
              <w:left w:val="single" w:color="auto" w:sz="4" w:space="0"/>
              <w:bottom w:val="single" w:color="auto" w:sz="4" w:space="0"/>
              <w:right w:val="single" w:color="auto" w:sz="4" w:space="0"/>
            </w:tcBorders>
          </w:tcPr>
          <w:p>
            <w:pPr>
              <w:rPr>
                <w:color w:val="auto"/>
                <w:sz w:val="2"/>
                <w:szCs w:val="2"/>
              </w:rPr>
            </w:pPr>
          </w:p>
        </w:tc>
        <w:tc>
          <w:tcPr>
            <w:tcW w:w="749" w:type="dxa"/>
            <w:tcBorders>
              <w:left w:val="single" w:color="auto" w:sz="4" w:space="0"/>
            </w:tcBorders>
            <w:vAlign w:val="top"/>
          </w:tcPr>
          <w:p>
            <w:pPr>
              <w:pStyle w:val="32"/>
              <w:spacing w:before="86"/>
              <w:ind w:left="176" w:leftChars="0"/>
              <w:rPr>
                <w:rFonts w:ascii="宋体" w:hAnsi="宋体" w:eastAsia="宋体" w:cs="宋体"/>
                <w:color w:val="auto"/>
                <w:spacing w:val="-10"/>
                <w:sz w:val="23"/>
                <w:szCs w:val="23"/>
              </w:rPr>
            </w:pPr>
            <w:r>
              <w:rPr>
                <w:color w:val="auto"/>
                <w:sz w:val="21"/>
              </w:rPr>
              <w:t>18</w:t>
            </w:r>
          </w:p>
        </w:tc>
        <w:tc>
          <w:tcPr>
            <w:tcW w:w="7952" w:type="dxa"/>
            <w:vAlign w:val="top"/>
          </w:tcPr>
          <w:p>
            <w:pPr>
              <w:pStyle w:val="32"/>
              <w:spacing w:before="86"/>
              <w:ind w:left="106" w:leftChars="0" w:right="-15" w:rightChars="0"/>
              <w:rPr>
                <w:rFonts w:ascii="宋体" w:hAnsi="宋体" w:eastAsia="宋体" w:cs="宋体"/>
                <w:color w:val="auto"/>
                <w:spacing w:val="13"/>
                <w:sz w:val="23"/>
                <w:szCs w:val="23"/>
              </w:rPr>
            </w:pPr>
            <w:r>
              <w:rPr>
                <w:color w:val="auto"/>
                <w:spacing w:val="-8"/>
                <w:sz w:val="21"/>
              </w:rPr>
              <w:t>压浆不按配合比制浆，水灰比失控，强度达不到要求的，每次</w:t>
            </w:r>
            <w:r>
              <w:rPr>
                <w:rFonts w:hint="eastAsia"/>
                <w:color w:val="auto"/>
                <w:sz w:val="21"/>
                <w:lang w:val="en-US" w:eastAsia="zh-CN"/>
              </w:rPr>
              <w:t>罚款</w:t>
            </w:r>
            <w:r>
              <w:rPr>
                <w:color w:val="auto"/>
                <w:sz w:val="21"/>
              </w:rPr>
              <w:t>3,000</w:t>
            </w:r>
            <w:r>
              <w:rPr>
                <w:color w:val="auto"/>
                <w:spacing w:val="-18"/>
                <w:sz w:val="21"/>
              </w:rPr>
              <w:t>元。</w:t>
            </w:r>
          </w:p>
        </w:tc>
      </w:tr>
    </w:tbl>
    <w:p>
      <w:pPr>
        <w:rPr>
          <w:color w:val="auto"/>
          <w:sz w:val="21"/>
        </w:rPr>
        <w:sectPr>
          <w:pgSz w:w="11911" w:h="16838"/>
          <w:pgMar w:top="1247" w:right="1134" w:bottom="1247" w:left="1134" w:header="737" w:footer="850" w:gutter="0"/>
          <w:pgNumType w:fmt="numberInDash"/>
          <w:cols w:space="0" w:num="1"/>
          <w:rtlGutter w:val="0"/>
          <w:docGrid w:linePitch="0" w:charSpace="0"/>
        </w:sectPr>
      </w:pPr>
    </w:p>
    <w:tbl>
      <w:tblPr>
        <w:tblStyle w:val="25"/>
        <w:tblW w:w="96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9"/>
        <w:gridCol w:w="750"/>
        <w:gridCol w:w="7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6" w:hRule="atLeast"/>
          <w:jc w:val="center"/>
        </w:trPr>
        <w:tc>
          <w:tcPr>
            <w:tcW w:w="899" w:type="dxa"/>
            <w:vMerge w:val="restart"/>
            <w:tcBorders>
              <w:top w:val="nil"/>
              <w:left w:val="single" w:color="auto" w:sz="4" w:space="0"/>
              <w:right w:val="single" w:color="auto" w:sz="4" w:space="0"/>
            </w:tcBorders>
          </w:tcPr>
          <w:p>
            <w:pPr>
              <w:pStyle w:val="32"/>
              <w:spacing w:before="174" w:line="484" w:lineRule="auto"/>
              <w:ind w:right="271"/>
              <w:jc w:val="center"/>
              <w:rPr>
                <w:color w:val="auto"/>
                <w:sz w:val="21"/>
              </w:rPr>
            </w:pPr>
            <w:r>
              <w:rPr>
                <w:rFonts w:hint="eastAsia" w:ascii="Times New Roman"/>
                <w:color w:val="auto"/>
                <w:sz w:val="24"/>
                <w:szCs w:val="32"/>
                <w:lang w:val="en-US" w:eastAsia="zh-CN"/>
              </w:rPr>
              <w:t>桥涵工程</w:t>
            </w:r>
          </w:p>
        </w:tc>
        <w:tc>
          <w:tcPr>
            <w:tcW w:w="750" w:type="dxa"/>
            <w:tcBorders>
              <w:left w:val="single" w:color="auto" w:sz="4" w:space="0"/>
            </w:tcBorders>
          </w:tcPr>
          <w:p>
            <w:pPr>
              <w:pStyle w:val="32"/>
              <w:spacing w:before="85"/>
              <w:ind w:left="176"/>
              <w:rPr>
                <w:color w:val="auto"/>
                <w:sz w:val="21"/>
              </w:rPr>
            </w:pPr>
            <w:r>
              <w:rPr>
                <w:color w:val="auto"/>
                <w:sz w:val="21"/>
              </w:rPr>
              <w:t>19</w:t>
            </w:r>
          </w:p>
        </w:tc>
        <w:tc>
          <w:tcPr>
            <w:tcW w:w="7964" w:type="dxa"/>
          </w:tcPr>
          <w:p>
            <w:pPr>
              <w:pStyle w:val="32"/>
              <w:spacing w:before="85"/>
              <w:ind w:left="106"/>
              <w:rPr>
                <w:color w:val="auto"/>
                <w:sz w:val="21"/>
              </w:rPr>
            </w:pPr>
            <w:r>
              <w:rPr>
                <w:color w:val="auto"/>
                <w:sz w:val="21"/>
              </w:rPr>
              <w:t>压浆不饱满的，每条管</w:t>
            </w:r>
            <w:r>
              <w:rPr>
                <w:rFonts w:hint="eastAsia"/>
                <w:color w:val="auto"/>
                <w:sz w:val="21"/>
                <w:lang w:val="en-US" w:eastAsia="zh-CN"/>
              </w:rPr>
              <w:t>罚款</w:t>
            </w:r>
            <w:r>
              <w:rPr>
                <w:color w:val="auto"/>
                <w:sz w:val="21"/>
              </w:rPr>
              <w:t>3,000元。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9" w:hRule="atLeast"/>
          <w:jc w:val="center"/>
        </w:trPr>
        <w:tc>
          <w:tcPr>
            <w:tcW w:w="899" w:type="dxa"/>
            <w:vMerge w:val="continue"/>
            <w:tcBorders>
              <w:left w:val="single" w:color="auto" w:sz="4" w:space="0"/>
              <w:right w:val="single" w:color="auto" w:sz="4" w:space="0"/>
            </w:tcBorders>
            <w:vAlign w:val="center"/>
          </w:tcPr>
          <w:p>
            <w:pPr>
              <w:pStyle w:val="32"/>
              <w:spacing w:before="174" w:line="484" w:lineRule="auto"/>
              <w:ind w:right="271"/>
              <w:jc w:val="center"/>
              <w:rPr>
                <w:color w:val="auto"/>
                <w:sz w:val="21"/>
              </w:rPr>
            </w:pPr>
          </w:p>
        </w:tc>
        <w:tc>
          <w:tcPr>
            <w:tcW w:w="750" w:type="dxa"/>
            <w:tcBorders>
              <w:left w:val="single" w:color="auto" w:sz="4" w:space="0"/>
            </w:tcBorders>
          </w:tcPr>
          <w:p>
            <w:pPr>
              <w:pStyle w:val="32"/>
              <w:spacing w:before="3"/>
              <w:rPr>
                <w:rFonts w:ascii="Times New Roman"/>
                <w:color w:val="auto"/>
                <w:sz w:val="19"/>
              </w:rPr>
            </w:pPr>
          </w:p>
          <w:p>
            <w:pPr>
              <w:pStyle w:val="32"/>
              <w:ind w:left="176"/>
              <w:rPr>
                <w:color w:val="auto"/>
                <w:sz w:val="21"/>
              </w:rPr>
            </w:pPr>
            <w:r>
              <w:rPr>
                <w:color w:val="auto"/>
                <w:sz w:val="21"/>
              </w:rPr>
              <w:t>20</w:t>
            </w:r>
          </w:p>
        </w:tc>
        <w:tc>
          <w:tcPr>
            <w:tcW w:w="7964" w:type="dxa"/>
          </w:tcPr>
          <w:p>
            <w:pPr>
              <w:pStyle w:val="32"/>
              <w:spacing w:before="85"/>
              <w:ind w:left="106"/>
              <w:rPr>
                <w:color w:val="auto"/>
                <w:sz w:val="21"/>
              </w:rPr>
            </w:pPr>
            <w:r>
              <w:rPr>
                <w:color w:val="auto"/>
                <w:sz w:val="21"/>
              </w:rPr>
              <w:t>预制、现浇砼构件必须采用足够强度、大面积的钢板制模板，违者每次</w:t>
            </w:r>
            <w:r>
              <w:rPr>
                <w:rFonts w:hint="eastAsia"/>
                <w:color w:val="auto"/>
                <w:sz w:val="21"/>
                <w:lang w:val="en-US" w:eastAsia="zh-CN"/>
              </w:rPr>
              <w:t>罚款</w:t>
            </w:r>
            <w:r>
              <w:rPr>
                <w:color w:val="auto"/>
                <w:sz w:val="21"/>
              </w:rPr>
              <w:t>3,000元。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86"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tcPr>
          <w:p>
            <w:pPr>
              <w:pStyle w:val="32"/>
              <w:rPr>
                <w:rFonts w:ascii="Times New Roman"/>
                <w:color w:val="auto"/>
                <w:sz w:val="20"/>
              </w:rPr>
            </w:pPr>
          </w:p>
          <w:p>
            <w:pPr>
              <w:pStyle w:val="32"/>
              <w:spacing w:before="127"/>
              <w:ind w:left="176"/>
              <w:rPr>
                <w:color w:val="auto"/>
                <w:sz w:val="21"/>
              </w:rPr>
            </w:pPr>
            <w:r>
              <w:rPr>
                <w:color w:val="auto"/>
                <w:sz w:val="21"/>
              </w:rPr>
              <w:t>21</w:t>
            </w:r>
          </w:p>
        </w:tc>
        <w:tc>
          <w:tcPr>
            <w:tcW w:w="7964" w:type="dxa"/>
          </w:tcPr>
          <w:p>
            <w:pPr>
              <w:pStyle w:val="32"/>
              <w:spacing w:before="85" w:line="242" w:lineRule="auto"/>
              <w:ind w:left="106" w:right="51"/>
              <w:rPr>
                <w:color w:val="auto"/>
                <w:sz w:val="21"/>
              </w:rPr>
            </w:pPr>
            <w:r>
              <w:rPr>
                <w:color w:val="auto"/>
                <w:spacing w:val="-8"/>
                <w:sz w:val="21"/>
              </w:rPr>
              <w:t>结构物外观质量不符合要求而需修补的，必须作好修补方案，经试验确实可行，</w:t>
            </w:r>
            <w:r>
              <w:rPr>
                <w:color w:val="auto"/>
                <w:spacing w:val="-3"/>
                <w:sz w:val="21"/>
              </w:rPr>
              <w:t>并经发包人和监理人检查同意后，才能采取修整补救措施，无法进行补救的则</w:t>
            </w:r>
            <w:r>
              <w:rPr>
                <w:color w:val="auto"/>
                <w:spacing w:val="-6"/>
                <w:sz w:val="21"/>
              </w:rPr>
              <w:t>以“推倒重来”为原则。如有违反，每次</w:t>
            </w:r>
            <w:r>
              <w:rPr>
                <w:rFonts w:hint="eastAsia"/>
                <w:color w:val="auto"/>
                <w:sz w:val="21"/>
                <w:lang w:val="en-US" w:eastAsia="zh-CN"/>
              </w:rPr>
              <w:t>罚款</w:t>
            </w:r>
            <w:r>
              <w:rPr>
                <w:color w:val="auto"/>
                <w:sz w:val="21"/>
              </w:rPr>
              <w:t>3,000</w:t>
            </w:r>
            <w:r>
              <w:rPr>
                <w:color w:val="auto"/>
                <w:spacing w:val="-18"/>
                <w:sz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86"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tcPr>
          <w:p>
            <w:pPr>
              <w:pStyle w:val="32"/>
              <w:rPr>
                <w:rFonts w:ascii="Times New Roman"/>
                <w:color w:val="auto"/>
                <w:sz w:val="20"/>
              </w:rPr>
            </w:pPr>
          </w:p>
          <w:p>
            <w:pPr>
              <w:pStyle w:val="32"/>
              <w:spacing w:before="127"/>
              <w:ind w:left="176"/>
              <w:rPr>
                <w:color w:val="auto"/>
                <w:sz w:val="21"/>
              </w:rPr>
            </w:pPr>
            <w:r>
              <w:rPr>
                <w:color w:val="auto"/>
                <w:sz w:val="21"/>
              </w:rPr>
              <w:t>22</w:t>
            </w:r>
          </w:p>
        </w:tc>
        <w:tc>
          <w:tcPr>
            <w:tcW w:w="7964" w:type="dxa"/>
          </w:tcPr>
          <w:p>
            <w:pPr>
              <w:pStyle w:val="32"/>
              <w:spacing w:before="85" w:line="242" w:lineRule="auto"/>
              <w:ind w:left="106" w:right="110"/>
              <w:rPr>
                <w:color w:val="auto"/>
                <w:sz w:val="21"/>
              </w:rPr>
            </w:pPr>
            <w:r>
              <w:rPr>
                <w:color w:val="auto"/>
                <w:sz w:val="21"/>
              </w:rPr>
              <w:t>各标段第一根立柱、盖梁和第一段防撞栏必须经发包人和监理人检查外观质量合格后，方可进行第二根立柱、盖梁和第二段防撞栏的施工，违者每次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7"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tcPr>
          <w:p>
            <w:pPr>
              <w:pStyle w:val="32"/>
              <w:spacing w:before="85"/>
              <w:ind w:left="176"/>
              <w:rPr>
                <w:color w:val="auto"/>
                <w:sz w:val="21"/>
              </w:rPr>
            </w:pPr>
            <w:r>
              <w:rPr>
                <w:color w:val="auto"/>
                <w:sz w:val="21"/>
              </w:rPr>
              <w:t>23</w:t>
            </w:r>
          </w:p>
        </w:tc>
        <w:tc>
          <w:tcPr>
            <w:tcW w:w="7964" w:type="dxa"/>
          </w:tcPr>
          <w:p>
            <w:pPr>
              <w:pStyle w:val="32"/>
              <w:spacing w:before="85"/>
              <w:ind w:left="106"/>
              <w:rPr>
                <w:color w:val="auto"/>
                <w:sz w:val="21"/>
              </w:rPr>
            </w:pPr>
            <w:r>
              <w:rPr>
                <w:color w:val="auto"/>
                <w:sz w:val="21"/>
              </w:rPr>
              <w:t>结构标高尺寸误差超出规范允许值，每处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vAlign w:val="center"/>
          </w:tcPr>
          <w:p>
            <w:pPr>
              <w:spacing w:before="75" w:line="192" w:lineRule="auto"/>
              <w:jc w:val="center"/>
              <w:rPr>
                <w:color w:val="auto"/>
                <w:sz w:val="21"/>
              </w:rPr>
            </w:pPr>
            <w:r>
              <w:rPr>
                <w:rFonts w:ascii="宋体" w:hAnsi="宋体" w:eastAsia="宋体" w:cs="宋体"/>
                <w:color w:val="auto"/>
                <w:spacing w:val="-2"/>
                <w:sz w:val="23"/>
                <w:szCs w:val="23"/>
              </w:rPr>
              <w:t>2</w:t>
            </w:r>
            <w:r>
              <w:rPr>
                <w:rFonts w:ascii="宋体" w:hAnsi="宋体" w:eastAsia="宋体" w:cs="宋体"/>
                <w:color w:val="auto"/>
                <w:spacing w:val="-1"/>
                <w:sz w:val="23"/>
                <w:szCs w:val="23"/>
              </w:rPr>
              <w:t>4</w:t>
            </w:r>
          </w:p>
        </w:tc>
        <w:tc>
          <w:tcPr>
            <w:tcW w:w="7964" w:type="dxa"/>
            <w:vAlign w:val="top"/>
          </w:tcPr>
          <w:p>
            <w:pPr>
              <w:spacing w:before="37" w:line="241" w:lineRule="auto"/>
              <w:ind w:left="112" w:leftChars="0" w:right="107" w:rightChars="0"/>
              <w:rPr>
                <w:color w:val="auto"/>
                <w:sz w:val="21"/>
              </w:rPr>
            </w:pPr>
            <w:r>
              <w:rPr>
                <w:rFonts w:ascii="宋体" w:hAnsi="宋体" w:eastAsia="宋体" w:cs="宋体"/>
                <w:color w:val="auto"/>
                <w:spacing w:val="14"/>
                <w:sz w:val="23"/>
                <w:szCs w:val="23"/>
              </w:rPr>
              <w:t>桥</w:t>
            </w:r>
            <w:r>
              <w:rPr>
                <w:rFonts w:ascii="宋体" w:hAnsi="宋体" w:eastAsia="宋体" w:cs="宋体"/>
                <w:color w:val="auto"/>
                <w:spacing w:val="8"/>
                <w:sz w:val="23"/>
                <w:szCs w:val="23"/>
              </w:rPr>
              <w:t>面铺装应符合路面的要求，其强度、厚度、平整度、横坡、抗滑构造深度</w:t>
            </w:r>
            <w:r>
              <w:rPr>
                <w:rFonts w:ascii="宋体" w:hAnsi="宋体" w:eastAsia="宋体" w:cs="宋体"/>
                <w:color w:val="auto"/>
                <w:spacing w:val="13"/>
                <w:sz w:val="23"/>
                <w:szCs w:val="23"/>
              </w:rPr>
              <w:t>均</w:t>
            </w:r>
            <w:r>
              <w:rPr>
                <w:rFonts w:ascii="宋体" w:hAnsi="宋体" w:eastAsia="宋体" w:cs="宋体"/>
                <w:color w:val="auto"/>
                <w:spacing w:val="8"/>
                <w:sz w:val="23"/>
                <w:szCs w:val="23"/>
              </w:rPr>
              <w:t>应符合要求；桥面与伸缩缝的缝面必须结合良好，保证平整，违者每处罚</w:t>
            </w:r>
            <w:r>
              <w:rPr>
                <w:rFonts w:ascii="宋体" w:hAnsi="宋体" w:eastAsia="宋体" w:cs="宋体"/>
                <w:color w:val="auto"/>
                <w:spacing w:val="6"/>
                <w:sz w:val="23"/>
                <w:szCs w:val="23"/>
              </w:rPr>
              <w:t>款</w:t>
            </w:r>
            <w:r>
              <w:rPr>
                <w:rFonts w:ascii="宋体" w:hAnsi="宋体" w:eastAsia="宋体" w:cs="宋体"/>
                <w:color w:val="auto"/>
                <w:spacing w:val="4"/>
                <w:sz w:val="23"/>
                <w:szCs w:val="23"/>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vAlign w:val="center"/>
          </w:tcPr>
          <w:p>
            <w:pPr>
              <w:spacing w:before="74" w:line="190" w:lineRule="auto"/>
              <w:jc w:val="center"/>
              <w:rPr>
                <w:color w:val="auto"/>
                <w:sz w:val="21"/>
              </w:rPr>
            </w:pPr>
            <w:r>
              <w:rPr>
                <w:rFonts w:ascii="宋体" w:hAnsi="宋体" w:eastAsia="宋体" w:cs="宋体"/>
                <w:color w:val="auto"/>
                <w:spacing w:val="-2"/>
                <w:sz w:val="23"/>
                <w:szCs w:val="23"/>
              </w:rPr>
              <w:t>2</w:t>
            </w:r>
            <w:r>
              <w:rPr>
                <w:rFonts w:ascii="宋体" w:hAnsi="宋体" w:eastAsia="宋体" w:cs="宋体"/>
                <w:color w:val="auto"/>
                <w:spacing w:val="-1"/>
                <w:sz w:val="23"/>
                <w:szCs w:val="23"/>
              </w:rPr>
              <w:t>5</w:t>
            </w:r>
          </w:p>
        </w:tc>
        <w:tc>
          <w:tcPr>
            <w:tcW w:w="7964" w:type="dxa"/>
            <w:vAlign w:val="top"/>
          </w:tcPr>
          <w:p>
            <w:pPr>
              <w:spacing w:before="36" w:line="228" w:lineRule="auto"/>
              <w:ind w:left="112"/>
              <w:rPr>
                <w:rFonts w:ascii="宋体" w:hAnsi="宋体" w:eastAsia="宋体" w:cs="宋体"/>
                <w:color w:val="auto"/>
                <w:sz w:val="23"/>
                <w:szCs w:val="23"/>
              </w:rPr>
            </w:pPr>
            <w:r>
              <w:rPr>
                <w:rFonts w:ascii="宋体" w:hAnsi="宋体" w:eastAsia="宋体" w:cs="宋体"/>
                <w:color w:val="auto"/>
                <w:spacing w:val="8"/>
                <w:sz w:val="23"/>
                <w:szCs w:val="23"/>
              </w:rPr>
              <w:t>达不到以下要求的，每处罚款2,000元</w:t>
            </w:r>
            <w:r>
              <w:rPr>
                <w:rFonts w:ascii="宋体" w:hAnsi="宋体" w:eastAsia="宋体" w:cs="宋体"/>
                <w:color w:val="auto"/>
                <w:spacing w:val="4"/>
                <w:sz w:val="23"/>
                <w:szCs w:val="23"/>
              </w:rPr>
              <w:t>：</w:t>
            </w:r>
          </w:p>
          <w:p>
            <w:pPr>
              <w:tabs>
                <w:tab w:val="left" w:pos="238"/>
              </w:tabs>
              <w:spacing w:before="27" w:line="250" w:lineRule="auto"/>
              <w:ind w:left="112" w:right="107" w:firstLine="11"/>
              <w:rPr>
                <w:rFonts w:ascii="宋体" w:hAnsi="宋体" w:eastAsia="宋体" w:cs="宋体"/>
                <w:color w:val="auto"/>
                <w:sz w:val="23"/>
                <w:szCs w:val="23"/>
              </w:rPr>
            </w:pPr>
            <w:r>
              <w:rPr>
                <w:rFonts w:ascii="宋体" w:hAnsi="宋体" w:eastAsia="宋体" w:cs="宋体"/>
                <w:color w:val="auto"/>
                <w:spacing w:val="13"/>
                <w:sz w:val="23"/>
                <w:szCs w:val="23"/>
              </w:rPr>
              <w:t>(1)钢模板大面平整、坚固，板面缝隙小，错台不大于1</w:t>
            </w:r>
            <w:r>
              <w:rPr>
                <w:rFonts w:ascii="宋体" w:hAnsi="宋体" w:eastAsia="宋体" w:cs="宋体"/>
                <w:color w:val="auto"/>
                <w:sz w:val="23"/>
                <w:szCs w:val="23"/>
              </w:rPr>
              <w:t>mm</w:t>
            </w:r>
            <w:r>
              <w:rPr>
                <w:rFonts w:ascii="宋体" w:hAnsi="宋体" w:eastAsia="宋体" w:cs="宋体"/>
                <w:color w:val="auto"/>
                <w:spacing w:val="11"/>
                <w:sz w:val="23"/>
                <w:szCs w:val="23"/>
              </w:rPr>
              <w:t>；</w:t>
            </w:r>
            <w:r>
              <w:rPr>
                <w:rFonts w:ascii="宋体" w:hAnsi="宋体" w:eastAsia="宋体" w:cs="宋体"/>
                <w:color w:val="auto"/>
                <w:sz w:val="23"/>
                <w:szCs w:val="23"/>
              </w:rPr>
              <w:tab/>
            </w:r>
            <w:r>
              <w:rPr>
                <w:rFonts w:ascii="宋体" w:hAnsi="宋体" w:eastAsia="宋体" w:cs="宋体"/>
                <w:color w:val="auto"/>
                <w:spacing w:val="14"/>
                <w:sz w:val="23"/>
                <w:szCs w:val="23"/>
              </w:rPr>
              <w:t>(2)</w:t>
            </w:r>
            <w:r>
              <w:rPr>
                <w:rFonts w:ascii="宋体" w:hAnsi="宋体" w:eastAsia="宋体" w:cs="宋体"/>
                <w:color w:val="auto"/>
                <w:spacing w:val="7"/>
                <w:sz w:val="23"/>
                <w:szCs w:val="23"/>
              </w:rPr>
              <w:t>在盖梁浇筑前，立柱应用薄膜包裹，并用胶布密封固定，防止漏浆损坏</w:t>
            </w:r>
            <w:r>
              <w:rPr>
                <w:rFonts w:ascii="宋体" w:hAnsi="宋体" w:eastAsia="宋体" w:cs="宋体"/>
                <w:color w:val="auto"/>
                <w:spacing w:val="8"/>
                <w:sz w:val="23"/>
                <w:szCs w:val="23"/>
              </w:rPr>
              <w:t>立</w:t>
            </w:r>
            <w:r>
              <w:rPr>
                <w:rFonts w:ascii="宋体" w:hAnsi="宋体" w:eastAsia="宋体" w:cs="宋体"/>
                <w:color w:val="auto"/>
                <w:spacing w:val="7"/>
                <w:sz w:val="23"/>
                <w:szCs w:val="23"/>
              </w:rPr>
              <w:t>柱外观质量；</w:t>
            </w:r>
          </w:p>
          <w:p>
            <w:pPr>
              <w:spacing w:before="1" w:line="236" w:lineRule="auto"/>
              <w:ind w:left="116" w:leftChars="0" w:right="107" w:rightChars="0" w:firstLine="7" w:firstLineChars="0"/>
              <w:rPr>
                <w:color w:val="auto"/>
                <w:sz w:val="21"/>
              </w:rPr>
            </w:pPr>
            <w:r>
              <w:rPr>
                <w:rFonts w:ascii="宋体" w:hAnsi="宋体" w:eastAsia="宋体" w:cs="宋体"/>
                <w:color w:val="auto"/>
                <w:spacing w:val="11"/>
                <w:sz w:val="23"/>
                <w:szCs w:val="23"/>
              </w:rPr>
              <w:t>(3)裸露在砼外的结构钢筋或施工用的临时钢构件，时间需超过一个月，</w:t>
            </w:r>
            <w:r>
              <w:rPr>
                <w:rFonts w:ascii="宋体" w:hAnsi="宋体" w:eastAsia="宋体" w:cs="宋体"/>
                <w:color w:val="auto"/>
                <w:spacing w:val="10"/>
                <w:sz w:val="23"/>
                <w:szCs w:val="23"/>
              </w:rPr>
              <w:t>必</w:t>
            </w:r>
            <w:r>
              <w:rPr>
                <w:rFonts w:ascii="宋体" w:hAnsi="宋体" w:eastAsia="宋体" w:cs="宋体"/>
                <w:color w:val="auto"/>
                <w:spacing w:val="14"/>
                <w:sz w:val="23"/>
                <w:szCs w:val="23"/>
              </w:rPr>
              <w:t>须</w:t>
            </w:r>
            <w:r>
              <w:rPr>
                <w:rFonts w:ascii="宋体" w:hAnsi="宋体" w:eastAsia="宋体" w:cs="宋体"/>
                <w:color w:val="auto"/>
                <w:spacing w:val="9"/>
                <w:sz w:val="23"/>
                <w:szCs w:val="23"/>
              </w:rPr>
              <w:t>采</w:t>
            </w:r>
            <w:r>
              <w:rPr>
                <w:rFonts w:ascii="宋体" w:hAnsi="宋体" w:eastAsia="宋体" w:cs="宋体"/>
                <w:color w:val="auto"/>
                <w:spacing w:val="7"/>
                <w:sz w:val="23"/>
                <w:szCs w:val="23"/>
              </w:rPr>
              <w:t>取防锈措施(包裹或油漆)。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vAlign w:val="center"/>
          </w:tcPr>
          <w:p>
            <w:pPr>
              <w:spacing w:before="75" w:line="190" w:lineRule="auto"/>
              <w:jc w:val="center"/>
              <w:rPr>
                <w:color w:val="auto"/>
                <w:sz w:val="21"/>
              </w:rPr>
            </w:pPr>
            <w:r>
              <w:rPr>
                <w:rFonts w:ascii="宋体" w:hAnsi="宋体" w:eastAsia="宋体" w:cs="宋体"/>
                <w:color w:val="auto"/>
                <w:spacing w:val="-2"/>
                <w:sz w:val="23"/>
                <w:szCs w:val="23"/>
              </w:rPr>
              <w:t>2</w:t>
            </w:r>
            <w:r>
              <w:rPr>
                <w:rFonts w:ascii="宋体" w:hAnsi="宋体" w:eastAsia="宋体" w:cs="宋体"/>
                <w:color w:val="auto"/>
                <w:spacing w:val="-1"/>
                <w:sz w:val="23"/>
                <w:szCs w:val="23"/>
              </w:rPr>
              <w:t>6</w:t>
            </w:r>
          </w:p>
        </w:tc>
        <w:tc>
          <w:tcPr>
            <w:tcW w:w="7964" w:type="dxa"/>
            <w:vAlign w:val="top"/>
          </w:tcPr>
          <w:p>
            <w:pPr>
              <w:spacing w:before="36" w:line="227" w:lineRule="auto"/>
              <w:ind w:left="112"/>
              <w:rPr>
                <w:rFonts w:ascii="宋体" w:hAnsi="宋体" w:eastAsia="宋体" w:cs="宋体"/>
                <w:color w:val="auto"/>
                <w:sz w:val="23"/>
                <w:szCs w:val="23"/>
              </w:rPr>
            </w:pPr>
            <w:r>
              <w:rPr>
                <w:rFonts w:ascii="宋体" w:hAnsi="宋体" w:eastAsia="宋体" w:cs="宋体"/>
                <w:color w:val="auto"/>
                <w:spacing w:val="16"/>
                <w:sz w:val="23"/>
                <w:szCs w:val="23"/>
              </w:rPr>
              <w:t>伸</w:t>
            </w:r>
            <w:r>
              <w:rPr>
                <w:rFonts w:ascii="宋体" w:hAnsi="宋体" w:eastAsia="宋体" w:cs="宋体"/>
                <w:color w:val="auto"/>
                <w:spacing w:val="12"/>
                <w:sz w:val="23"/>
                <w:szCs w:val="23"/>
              </w:rPr>
              <w:t>缩</w:t>
            </w:r>
            <w:r>
              <w:rPr>
                <w:rFonts w:ascii="宋体" w:hAnsi="宋体" w:eastAsia="宋体" w:cs="宋体"/>
                <w:color w:val="auto"/>
                <w:spacing w:val="8"/>
                <w:sz w:val="23"/>
                <w:szCs w:val="23"/>
              </w:rPr>
              <w:t>缝施工出现下列情况，违者每次或每处罚款2,000元：</w:t>
            </w:r>
          </w:p>
          <w:p>
            <w:pPr>
              <w:spacing w:before="30" w:line="239" w:lineRule="auto"/>
              <w:ind w:left="112" w:right="177" w:firstLine="12"/>
              <w:rPr>
                <w:rFonts w:ascii="宋体" w:hAnsi="宋体" w:eastAsia="宋体" w:cs="宋体"/>
                <w:color w:val="auto"/>
                <w:sz w:val="23"/>
                <w:szCs w:val="23"/>
              </w:rPr>
            </w:pPr>
            <w:r>
              <w:rPr>
                <w:rFonts w:ascii="宋体" w:hAnsi="宋体" w:eastAsia="宋体" w:cs="宋体"/>
                <w:color w:val="auto"/>
                <w:spacing w:val="23"/>
                <w:sz w:val="23"/>
                <w:szCs w:val="23"/>
              </w:rPr>
              <w:t>(</w:t>
            </w:r>
            <w:r>
              <w:rPr>
                <w:rFonts w:ascii="宋体" w:hAnsi="宋体" w:eastAsia="宋体" w:cs="宋体"/>
                <w:color w:val="auto"/>
                <w:spacing w:val="12"/>
                <w:sz w:val="23"/>
                <w:szCs w:val="23"/>
              </w:rPr>
              <w:t>1)伸缩缝位置必须保证满足设计要求，安装时必须按气温来确定安装宽</w:t>
            </w:r>
            <w:r>
              <w:rPr>
                <w:rFonts w:ascii="宋体" w:hAnsi="宋体" w:eastAsia="宋体" w:cs="宋体"/>
                <w:color w:val="auto"/>
                <w:spacing w:val="1"/>
                <w:sz w:val="23"/>
                <w:szCs w:val="23"/>
              </w:rPr>
              <w:t>度</w:t>
            </w:r>
            <w:r>
              <w:rPr>
                <w:rFonts w:ascii="宋体" w:hAnsi="宋体" w:eastAsia="宋体" w:cs="宋体"/>
                <w:color w:val="auto"/>
                <w:sz w:val="23"/>
                <w:szCs w:val="23"/>
              </w:rPr>
              <w:t>；</w:t>
            </w:r>
          </w:p>
          <w:p>
            <w:pPr>
              <w:spacing w:before="25" w:line="239" w:lineRule="auto"/>
              <w:ind w:left="114" w:right="177" w:firstLine="9"/>
              <w:rPr>
                <w:rFonts w:ascii="宋体" w:hAnsi="宋体" w:eastAsia="宋体" w:cs="宋体"/>
                <w:color w:val="auto"/>
                <w:sz w:val="23"/>
                <w:szCs w:val="23"/>
              </w:rPr>
            </w:pPr>
            <w:r>
              <w:rPr>
                <w:rFonts w:ascii="宋体" w:hAnsi="宋体" w:eastAsia="宋体" w:cs="宋体"/>
                <w:color w:val="auto"/>
                <w:spacing w:val="23"/>
                <w:sz w:val="23"/>
                <w:szCs w:val="23"/>
              </w:rPr>
              <w:t>(</w:t>
            </w:r>
            <w:r>
              <w:rPr>
                <w:rFonts w:ascii="宋体" w:hAnsi="宋体" w:eastAsia="宋体" w:cs="宋体"/>
                <w:color w:val="auto"/>
                <w:spacing w:val="12"/>
                <w:sz w:val="23"/>
                <w:szCs w:val="23"/>
              </w:rPr>
              <w:t>2)预留槽口底面的砼必须密实、平整；在填充前必须保证干净，不得有</w:t>
            </w:r>
            <w:r>
              <w:rPr>
                <w:rFonts w:ascii="宋体" w:hAnsi="宋体" w:eastAsia="宋体" w:cs="宋体"/>
                <w:color w:val="auto"/>
                <w:spacing w:val="3"/>
                <w:sz w:val="23"/>
                <w:szCs w:val="23"/>
              </w:rPr>
              <w:t>杂物</w:t>
            </w:r>
            <w:r>
              <w:rPr>
                <w:rFonts w:ascii="宋体" w:hAnsi="宋体" w:eastAsia="宋体" w:cs="宋体"/>
                <w:color w:val="auto"/>
                <w:spacing w:val="2"/>
                <w:sz w:val="23"/>
                <w:szCs w:val="23"/>
              </w:rPr>
              <w:t>；</w:t>
            </w:r>
          </w:p>
          <w:p>
            <w:pPr>
              <w:spacing w:before="28" w:line="222" w:lineRule="auto"/>
              <w:ind w:left="124" w:leftChars="0"/>
              <w:rPr>
                <w:color w:val="auto"/>
                <w:sz w:val="21"/>
              </w:rPr>
            </w:pPr>
            <w:r>
              <w:rPr>
                <w:rFonts w:ascii="宋体" w:hAnsi="宋体" w:eastAsia="宋体" w:cs="宋体"/>
                <w:color w:val="auto"/>
                <w:spacing w:val="15"/>
                <w:sz w:val="23"/>
                <w:szCs w:val="23"/>
              </w:rPr>
              <w:t>(</w:t>
            </w:r>
            <w:r>
              <w:rPr>
                <w:rFonts w:ascii="宋体" w:hAnsi="宋体" w:eastAsia="宋体" w:cs="宋体"/>
                <w:color w:val="auto"/>
                <w:spacing w:val="14"/>
                <w:sz w:val="23"/>
                <w:szCs w:val="23"/>
              </w:rPr>
              <w:t>3)预埋钢筋未按设计要求预埋。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vAlign w:val="center"/>
          </w:tcPr>
          <w:p>
            <w:pPr>
              <w:spacing w:before="233" w:line="360" w:lineRule="auto"/>
              <w:jc w:val="center"/>
              <w:rPr>
                <w:color w:val="auto"/>
                <w:sz w:val="21"/>
              </w:rPr>
            </w:pPr>
            <w:r>
              <w:rPr>
                <w:rFonts w:ascii="宋体" w:hAnsi="宋体" w:eastAsia="宋体" w:cs="宋体"/>
                <w:color w:val="auto"/>
                <w:spacing w:val="-2"/>
                <w:sz w:val="23"/>
                <w:szCs w:val="23"/>
              </w:rPr>
              <w:t>2</w:t>
            </w:r>
            <w:r>
              <w:rPr>
                <w:rFonts w:ascii="宋体" w:hAnsi="宋体" w:eastAsia="宋体" w:cs="宋体"/>
                <w:color w:val="auto"/>
                <w:spacing w:val="-1"/>
                <w:sz w:val="23"/>
                <w:szCs w:val="23"/>
              </w:rPr>
              <w:t>7</w:t>
            </w:r>
          </w:p>
        </w:tc>
        <w:tc>
          <w:tcPr>
            <w:tcW w:w="7964" w:type="dxa"/>
            <w:vAlign w:val="top"/>
          </w:tcPr>
          <w:p>
            <w:pPr>
              <w:spacing w:before="39" w:line="236" w:lineRule="auto"/>
              <w:ind w:left="122" w:leftChars="0" w:right="177" w:rightChars="0" w:hanging="9" w:firstLineChars="0"/>
              <w:rPr>
                <w:color w:val="auto"/>
                <w:sz w:val="21"/>
              </w:rPr>
            </w:pPr>
            <w:r>
              <w:rPr>
                <w:rFonts w:ascii="宋体" w:hAnsi="宋体" w:eastAsia="宋体" w:cs="宋体"/>
                <w:color w:val="auto"/>
                <w:spacing w:val="10"/>
                <w:sz w:val="23"/>
                <w:szCs w:val="23"/>
              </w:rPr>
              <w:t>支座垫石标高误差超过±5</w:t>
            </w:r>
            <w:r>
              <w:rPr>
                <w:rFonts w:ascii="宋体" w:hAnsi="宋体" w:eastAsia="宋体" w:cs="宋体"/>
                <w:color w:val="auto"/>
                <w:sz w:val="23"/>
                <w:szCs w:val="23"/>
              </w:rPr>
              <w:t>mm</w:t>
            </w:r>
            <w:r>
              <w:rPr>
                <w:rFonts w:ascii="宋体" w:hAnsi="宋体" w:eastAsia="宋体" w:cs="宋体"/>
                <w:color w:val="auto"/>
                <w:spacing w:val="10"/>
                <w:sz w:val="23"/>
                <w:szCs w:val="23"/>
              </w:rPr>
              <w:t>，表面不清洁、不平整，有脱空松动的，每</w:t>
            </w:r>
            <w:r>
              <w:rPr>
                <w:rFonts w:ascii="宋体" w:hAnsi="宋体" w:eastAsia="宋体" w:cs="宋体"/>
                <w:color w:val="auto"/>
                <w:spacing w:val="4"/>
                <w:sz w:val="23"/>
                <w:szCs w:val="23"/>
              </w:rPr>
              <w:t>处</w:t>
            </w:r>
            <w:r>
              <w:rPr>
                <w:rFonts w:ascii="宋体" w:hAnsi="宋体" w:eastAsia="宋体" w:cs="宋体"/>
                <w:color w:val="auto"/>
                <w:spacing w:val="8"/>
                <w:sz w:val="23"/>
                <w:szCs w:val="23"/>
              </w:rPr>
              <w:t>罚</w:t>
            </w:r>
            <w:r>
              <w:rPr>
                <w:rFonts w:ascii="宋体" w:hAnsi="宋体" w:eastAsia="宋体" w:cs="宋体"/>
                <w:color w:val="auto"/>
                <w:spacing w:val="4"/>
                <w:sz w:val="23"/>
                <w:szCs w:val="23"/>
              </w:rPr>
              <w:t>款2，000元。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restart"/>
            <w:tcBorders>
              <w:left w:val="single" w:color="auto" w:sz="4" w:space="0"/>
              <w:right w:val="single" w:color="auto" w:sz="4" w:space="0"/>
            </w:tcBorders>
            <w:vAlign w:val="center"/>
          </w:tcPr>
          <w:p>
            <w:pPr>
              <w:spacing w:before="75" w:line="312" w:lineRule="exact"/>
              <w:jc w:val="center"/>
              <w:rPr>
                <w:rFonts w:ascii="宋体" w:hAnsi="宋体" w:eastAsia="宋体" w:cs="宋体"/>
                <w:color w:val="auto"/>
                <w:sz w:val="23"/>
                <w:szCs w:val="23"/>
              </w:rPr>
            </w:pPr>
            <w:r>
              <w:rPr>
                <w:rFonts w:ascii="宋体" w:hAnsi="宋体" w:eastAsia="宋体" w:cs="宋体"/>
                <w:color w:val="auto"/>
                <w:spacing w:val="4"/>
                <w:position w:val="5"/>
                <w:sz w:val="23"/>
                <w:szCs w:val="23"/>
              </w:rPr>
              <w:t>路面</w:t>
            </w:r>
          </w:p>
          <w:p>
            <w:pPr>
              <w:jc w:val="center"/>
              <w:rPr>
                <w:color w:val="auto"/>
                <w:sz w:val="2"/>
                <w:szCs w:val="2"/>
              </w:rPr>
            </w:pPr>
            <w:r>
              <w:rPr>
                <w:rFonts w:ascii="宋体" w:hAnsi="宋体" w:eastAsia="宋体" w:cs="宋体"/>
                <w:color w:val="auto"/>
                <w:spacing w:val="4"/>
                <w:sz w:val="23"/>
                <w:szCs w:val="23"/>
              </w:rPr>
              <w:t>工</w:t>
            </w:r>
            <w:r>
              <w:rPr>
                <w:rFonts w:ascii="宋体" w:hAnsi="宋体" w:eastAsia="宋体" w:cs="宋体"/>
                <w:color w:val="auto"/>
                <w:spacing w:val="3"/>
                <w:sz w:val="23"/>
                <w:szCs w:val="23"/>
              </w:rPr>
              <w:t>程</w:t>
            </w:r>
          </w:p>
        </w:tc>
        <w:tc>
          <w:tcPr>
            <w:tcW w:w="750" w:type="dxa"/>
            <w:tcBorders>
              <w:left w:val="single" w:color="auto" w:sz="4" w:space="0"/>
            </w:tcBorders>
            <w:vAlign w:val="top"/>
          </w:tcPr>
          <w:p>
            <w:pPr>
              <w:spacing w:before="231" w:line="192" w:lineRule="auto"/>
              <w:ind w:left="329" w:leftChars="0"/>
              <w:rPr>
                <w:rFonts w:ascii="宋体" w:hAnsi="宋体" w:eastAsia="宋体" w:cs="宋体"/>
                <w:color w:val="auto"/>
                <w:spacing w:val="-2"/>
                <w:sz w:val="23"/>
                <w:szCs w:val="23"/>
              </w:rPr>
            </w:pPr>
            <w:r>
              <w:rPr>
                <w:rFonts w:ascii="宋体" w:hAnsi="宋体" w:eastAsia="宋体" w:cs="宋体"/>
                <w:color w:val="auto"/>
                <w:sz w:val="23"/>
                <w:szCs w:val="23"/>
              </w:rPr>
              <w:t>1</w:t>
            </w:r>
          </w:p>
        </w:tc>
        <w:tc>
          <w:tcPr>
            <w:tcW w:w="7964" w:type="dxa"/>
            <w:vAlign w:val="top"/>
          </w:tcPr>
          <w:p>
            <w:pPr>
              <w:spacing w:before="38" w:line="236" w:lineRule="auto"/>
              <w:ind w:left="114" w:leftChars="0" w:right="107" w:rightChars="0"/>
              <w:rPr>
                <w:rFonts w:ascii="宋体" w:hAnsi="宋体" w:eastAsia="宋体" w:cs="宋体"/>
                <w:color w:val="auto"/>
                <w:spacing w:val="10"/>
                <w:sz w:val="23"/>
                <w:szCs w:val="23"/>
              </w:rPr>
            </w:pPr>
            <w:r>
              <w:rPr>
                <w:rFonts w:ascii="宋体" w:hAnsi="宋体" w:eastAsia="宋体" w:cs="宋体"/>
                <w:color w:val="auto"/>
                <w:spacing w:val="12"/>
                <w:sz w:val="23"/>
                <w:szCs w:val="23"/>
              </w:rPr>
              <w:t>路</w:t>
            </w:r>
            <w:r>
              <w:rPr>
                <w:rFonts w:ascii="宋体" w:hAnsi="宋体" w:eastAsia="宋体" w:cs="宋体"/>
                <w:color w:val="auto"/>
                <w:spacing w:val="8"/>
                <w:sz w:val="23"/>
                <w:szCs w:val="23"/>
              </w:rPr>
              <w:t>面基层必须碾压密实，表面干燥、清洁、无浮土，平整度和路拱度符合要</w:t>
            </w:r>
            <w:r>
              <w:rPr>
                <w:rFonts w:ascii="宋体" w:hAnsi="宋体" w:eastAsia="宋体" w:cs="宋体"/>
                <w:color w:val="auto"/>
                <w:spacing w:val="7"/>
                <w:sz w:val="23"/>
                <w:szCs w:val="23"/>
              </w:rPr>
              <w:t>求，违者每处罚款2,000元</w:t>
            </w:r>
            <w:r>
              <w:rPr>
                <w:rFonts w:ascii="宋体" w:hAnsi="宋体" w:eastAsia="宋体" w:cs="宋体"/>
                <w:color w:val="auto"/>
                <w:spacing w:val="5"/>
                <w:sz w:val="23"/>
                <w:szCs w:val="23"/>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tcPr>
          <w:p>
            <w:pPr>
              <w:rPr>
                <w:color w:val="auto"/>
                <w:sz w:val="2"/>
                <w:szCs w:val="2"/>
              </w:rPr>
            </w:pPr>
          </w:p>
        </w:tc>
        <w:tc>
          <w:tcPr>
            <w:tcW w:w="750" w:type="dxa"/>
            <w:tcBorders>
              <w:left w:val="single" w:color="auto" w:sz="4" w:space="0"/>
            </w:tcBorders>
            <w:vAlign w:val="top"/>
          </w:tcPr>
          <w:p>
            <w:pPr>
              <w:spacing w:line="388" w:lineRule="auto"/>
              <w:rPr>
                <w:rFonts w:ascii="Arial"/>
                <w:color w:val="auto"/>
                <w:sz w:val="21"/>
              </w:rPr>
            </w:pPr>
          </w:p>
          <w:p>
            <w:pPr>
              <w:spacing w:before="75" w:line="192" w:lineRule="auto"/>
              <w:ind w:left="314" w:leftChars="0"/>
              <w:rPr>
                <w:rFonts w:ascii="宋体" w:hAnsi="宋体" w:eastAsia="宋体" w:cs="宋体"/>
                <w:color w:val="auto"/>
                <w:spacing w:val="-2"/>
                <w:sz w:val="23"/>
                <w:szCs w:val="23"/>
              </w:rPr>
            </w:pPr>
            <w:r>
              <w:rPr>
                <w:rFonts w:ascii="宋体" w:hAnsi="宋体" w:eastAsia="宋体" w:cs="宋体"/>
                <w:color w:val="auto"/>
                <w:sz w:val="23"/>
                <w:szCs w:val="23"/>
              </w:rPr>
              <w:t>2</w:t>
            </w:r>
          </w:p>
        </w:tc>
        <w:tc>
          <w:tcPr>
            <w:tcW w:w="7964" w:type="dxa"/>
            <w:vAlign w:val="top"/>
          </w:tcPr>
          <w:p>
            <w:pPr>
              <w:spacing w:before="36" w:line="244" w:lineRule="auto"/>
              <w:ind w:left="112" w:leftChars="0" w:right="107" w:rightChars="0" w:firstLine="1" w:firstLineChars="0"/>
              <w:rPr>
                <w:rFonts w:ascii="宋体" w:hAnsi="宋体" w:eastAsia="宋体" w:cs="宋体"/>
                <w:color w:val="auto"/>
                <w:spacing w:val="10"/>
                <w:sz w:val="23"/>
                <w:szCs w:val="23"/>
              </w:rPr>
            </w:pPr>
            <w:r>
              <w:rPr>
                <w:rFonts w:ascii="宋体" w:hAnsi="宋体" w:eastAsia="宋体" w:cs="宋体"/>
                <w:color w:val="auto"/>
                <w:spacing w:val="16"/>
                <w:sz w:val="20"/>
                <w:szCs w:val="20"/>
              </w:rPr>
              <w:t>水泥</w:t>
            </w:r>
            <w:r>
              <w:rPr>
                <w:rFonts w:ascii="宋体" w:hAnsi="宋体" w:eastAsia="宋体" w:cs="宋体"/>
                <w:color w:val="auto"/>
                <w:spacing w:val="12"/>
                <w:sz w:val="20"/>
                <w:szCs w:val="20"/>
              </w:rPr>
              <w:t>砼</w:t>
            </w:r>
            <w:r>
              <w:rPr>
                <w:rFonts w:ascii="宋体" w:hAnsi="宋体" w:eastAsia="宋体" w:cs="宋体"/>
                <w:color w:val="auto"/>
                <w:spacing w:val="8"/>
                <w:sz w:val="20"/>
                <w:szCs w:val="20"/>
              </w:rPr>
              <w:t>路面存在下列问题的，每处罚款1,000元：1)粗细骨料不符合设计要求；2)基层</w:t>
            </w:r>
            <w:r>
              <w:rPr>
                <w:rFonts w:ascii="宋体" w:hAnsi="宋体" w:eastAsia="宋体" w:cs="宋体"/>
                <w:color w:val="auto"/>
                <w:spacing w:val="9"/>
                <w:sz w:val="20"/>
                <w:szCs w:val="20"/>
              </w:rPr>
              <w:t>和底基层压实度没有≥98%，表面坑洼，明显离析；3)基层和底基层没有清理杂物，有浮土；4)砼养生不及时；5)膨胀传力杆活动端与固定端方向没有相反；6)接缝填充</w:t>
            </w:r>
            <w:r>
              <w:rPr>
                <w:rFonts w:ascii="宋体" w:hAnsi="宋体" w:eastAsia="宋体" w:cs="宋体"/>
                <w:color w:val="auto"/>
                <w:spacing w:val="8"/>
                <w:sz w:val="20"/>
                <w:szCs w:val="20"/>
              </w:rPr>
              <w:t>料</w:t>
            </w:r>
            <w:r>
              <w:rPr>
                <w:rFonts w:ascii="宋体" w:hAnsi="宋体" w:eastAsia="宋体" w:cs="宋体"/>
                <w:color w:val="auto"/>
                <w:spacing w:val="16"/>
                <w:sz w:val="20"/>
                <w:szCs w:val="20"/>
              </w:rPr>
              <w:t>没</w:t>
            </w:r>
            <w:r>
              <w:rPr>
                <w:rFonts w:ascii="宋体" w:hAnsi="宋体" w:eastAsia="宋体" w:cs="宋体"/>
                <w:color w:val="auto"/>
                <w:spacing w:val="8"/>
                <w:sz w:val="20"/>
                <w:szCs w:val="20"/>
              </w:rPr>
              <w:t>有饱满或用料不符合设计要求。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tcBorders>
              <w:left w:val="single" w:color="auto" w:sz="4" w:space="0"/>
              <w:right w:val="single" w:color="auto" w:sz="4" w:space="0"/>
            </w:tcBorders>
            <w:vAlign w:val="top"/>
          </w:tcPr>
          <w:p>
            <w:pPr>
              <w:spacing w:before="195" w:line="310" w:lineRule="exact"/>
              <w:ind w:left="191"/>
              <w:rPr>
                <w:rFonts w:ascii="宋体" w:hAnsi="宋体" w:eastAsia="宋体" w:cs="宋体"/>
                <w:color w:val="auto"/>
                <w:sz w:val="23"/>
                <w:szCs w:val="23"/>
              </w:rPr>
            </w:pPr>
            <w:r>
              <w:rPr>
                <w:rFonts w:ascii="宋体" w:hAnsi="宋体" w:eastAsia="宋体" w:cs="宋体"/>
                <w:color w:val="auto"/>
                <w:spacing w:val="4"/>
                <w:position w:val="5"/>
                <w:sz w:val="23"/>
                <w:szCs w:val="23"/>
              </w:rPr>
              <w:t>绿化</w:t>
            </w:r>
          </w:p>
          <w:p>
            <w:pPr>
              <w:spacing w:line="228" w:lineRule="auto"/>
              <w:ind w:left="192" w:leftChars="0"/>
              <w:rPr>
                <w:color w:val="auto"/>
                <w:sz w:val="2"/>
                <w:szCs w:val="2"/>
              </w:rPr>
            </w:pPr>
            <w:r>
              <w:rPr>
                <w:rFonts w:ascii="宋体" w:hAnsi="宋体" w:eastAsia="宋体" w:cs="宋体"/>
                <w:color w:val="auto"/>
                <w:spacing w:val="4"/>
                <w:sz w:val="23"/>
                <w:szCs w:val="23"/>
              </w:rPr>
              <w:t>工</w:t>
            </w:r>
            <w:r>
              <w:rPr>
                <w:rFonts w:ascii="宋体" w:hAnsi="宋体" w:eastAsia="宋体" w:cs="宋体"/>
                <w:color w:val="auto"/>
                <w:spacing w:val="3"/>
                <w:sz w:val="23"/>
                <w:szCs w:val="23"/>
              </w:rPr>
              <w:t>程</w:t>
            </w:r>
          </w:p>
        </w:tc>
        <w:tc>
          <w:tcPr>
            <w:tcW w:w="750" w:type="dxa"/>
            <w:tcBorders>
              <w:left w:val="single" w:color="auto" w:sz="4" w:space="0"/>
            </w:tcBorders>
            <w:vAlign w:val="top"/>
          </w:tcPr>
          <w:p>
            <w:pPr>
              <w:spacing w:line="310" w:lineRule="auto"/>
              <w:rPr>
                <w:rFonts w:ascii="Arial"/>
                <w:color w:val="auto"/>
                <w:sz w:val="21"/>
              </w:rPr>
            </w:pPr>
          </w:p>
          <w:p>
            <w:pPr>
              <w:spacing w:before="74" w:line="192" w:lineRule="auto"/>
              <w:ind w:left="329" w:leftChars="0"/>
              <w:rPr>
                <w:rFonts w:ascii="宋体" w:hAnsi="宋体" w:eastAsia="宋体" w:cs="宋体"/>
                <w:color w:val="auto"/>
                <w:sz w:val="23"/>
                <w:szCs w:val="23"/>
              </w:rPr>
            </w:pPr>
            <w:r>
              <w:rPr>
                <w:rFonts w:ascii="宋体" w:hAnsi="宋体" w:eastAsia="宋体" w:cs="宋体"/>
                <w:color w:val="auto"/>
                <w:sz w:val="23"/>
                <w:szCs w:val="23"/>
              </w:rPr>
              <w:t>1</w:t>
            </w:r>
          </w:p>
        </w:tc>
        <w:tc>
          <w:tcPr>
            <w:tcW w:w="7964" w:type="dxa"/>
            <w:vAlign w:val="top"/>
          </w:tcPr>
          <w:p>
            <w:pPr>
              <w:spacing w:before="40"/>
              <w:ind w:left="112" w:leftChars="0" w:right="117" w:rightChars="0" w:firstLine="4" w:firstLineChars="0"/>
              <w:rPr>
                <w:rFonts w:ascii="宋体" w:hAnsi="宋体" w:eastAsia="宋体" w:cs="宋体"/>
                <w:color w:val="auto"/>
                <w:spacing w:val="16"/>
                <w:sz w:val="20"/>
                <w:szCs w:val="20"/>
              </w:rPr>
            </w:pPr>
            <w:r>
              <w:rPr>
                <w:rFonts w:ascii="宋体" w:hAnsi="宋体" w:eastAsia="宋体" w:cs="宋体"/>
                <w:color w:val="auto"/>
                <w:spacing w:val="14"/>
                <w:sz w:val="23"/>
                <w:szCs w:val="23"/>
              </w:rPr>
              <w:t>如果绿</w:t>
            </w:r>
            <w:r>
              <w:rPr>
                <w:rFonts w:ascii="宋体" w:hAnsi="宋体" w:eastAsia="宋体" w:cs="宋体"/>
                <w:color w:val="auto"/>
                <w:spacing w:val="11"/>
                <w:sz w:val="23"/>
                <w:szCs w:val="23"/>
              </w:rPr>
              <w:t>化</w:t>
            </w:r>
            <w:r>
              <w:rPr>
                <w:rFonts w:ascii="宋体" w:hAnsi="宋体" w:eastAsia="宋体" w:cs="宋体"/>
                <w:color w:val="auto"/>
                <w:spacing w:val="7"/>
                <w:sz w:val="23"/>
                <w:szCs w:val="23"/>
              </w:rPr>
              <w:t>工程质量不合格或造成质量隐患，按以下标准对承包人进行罚款：</w:t>
            </w:r>
            <w:r>
              <w:rPr>
                <w:rFonts w:ascii="宋体" w:hAnsi="宋体" w:eastAsia="宋体" w:cs="宋体"/>
                <w:color w:val="auto"/>
                <w:spacing w:val="14"/>
                <w:sz w:val="23"/>
                <w:szCs w:val="23"/>
              </w:rPr>
              <w:t>以清单单</w:t>
            </w:r>
            <w:r>
              <w:rPr>
                <w:rFonts w:ascii="宋体" w:hAnsi="宋体" w:eastAsia="宋体" w:cs="宋体"/>
                <w:color w:val="auto"/>
                <w:spacing w:val="8"/>
                <w:sz w:val="23"/>
                <w:szCs w:val="23"/>
              </w:rPr>
              <w:t>位</w:t>
            </w:r>
            <w:r>
              <w:rPr>
                <w:rFonts w:ascii="宋体" w:hAnsi="宋体" w:eastAsia="宋体" w:cs="宋体"/>
                <w:color w:val="auto"/>
                <w:spacing w:val="7"/>
                <w:sz w:val="23"/>
                <w:szCs w:val="23"/>
              </w:rPr>
              <w:t>为罚款依据，即1000元/丛、1000元/株、500元/</w:t>
            </w:r>
            <w:r>
              <w:rPr>
                <w:rFonts w:ascii="宋体" w:hAnsi="宋体" w:eastAsia="宋体" w:cs="宋体"/>
                <w:color w:val="auto"/>
                <w:sz w:val="23"/>
                <w:szCs w:val="23"/>
              </w:rPr>
              <w:t>m</w:t>
            </w:r>
            <w:r>
              <w:rPr>
                <w:rFonts w:ascii="宋体" w:hAnsi="宋体" w:eastAsia="宋体" w:cs="宋体"/>
                <w:color w:val="auto"/>
                <w:spacing w:val="7"/>
                <w:sz w:val="23"/>
                <w:szCs w:val="23"/>
              </w:rPr>
              <w:t>2、500元/</w:t>
            </w:r>
            <w:r>
              <w:rPr>
                <w:rFonts w:ascii="宋体" w:hAnsi="宋体" w:eastAsia="宋体" w:cs="宋体"/>
                <w:color w:val="auto"/>
                <w:sz w:val="23"/>
                <w:szCs w:val="23"/>
              </w:rPr>
              <w:t>t</w:t>
            </w:r>
            <w:r>
              <w:rPr>
                <w:rFonts w:ascii="宋体" w:hAnsi="宋体" w:eastAsia="宋体" w:cs="宋体"/>
                <w:color w:val="auto"/>
                <w:spacing w:val="7"/>
                <w:sz w:val="23"/>
                <w:szCs w:val="23"/>
              </w:rPr>
              <w:t>以</w:t>
            </w:r>
            <w:r>
              <w:rPr>
                <w:rFonts w:ascii="宋体" w:hAnsi="宋体" w:eastAsia="宋体" w:cs="宋体"/>
                <w:color w:val="auto"/>
                <w:spacing w:val="10"/>
                <w:sz w:val="23"/>
                <w:szCs w:val="23"/>
              </w:rPr>
              <w:t>及</w:t>
            </w:r>
            <w:r>
              <w:rPr>
                <w:rFonts w:ascii="宋体" w:hAnsi="宋体" w:eastAsia="宋体" w:cs="宋体"/>
                <w:color w:val="auto"/>
                <w:spacing w:val="6"/>
                <w:sz w:val="23"/>
                <w:szCs w:val="23"/>
              </w:rPr>
              <w:t>1</w:t>
            </w:r>
            <w:r>
              <w:rPr>
                <w:rFonts w:ascii="宋体" w:hAnsi="宋体" w:eastAsia="宋体" w:cs="宋体"/>
                <w:color w:val="auto"/>
                <w:spacing w:val="5"/>
                <w:sz w:val="23"/>
                <w:szCs w:val="23"/>
              </w:rPr>
              <w:t>0000元/个等。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restart"/>
            <w:tcBorders>
              <w:left w:val="single" w:color="auto" w:sz="4" w:space="0"/>
              <w:right w:val="single" w:color="auto" w:sz="4" w:space="0"/>
            </w:tcBorders>
            <w:vAlign w:val="center"/>
          </w:tcPr>
          <w:p>
            <w:pPr>
              <w:spacing w:before="75" w:line="312" w:lineRule="exact"/>
              <w:ind w:left="193"/>
              <w:jc w:val="center"/>
              <w:rPr>
                <w:rFonts w:ascii="宋体" w:hAnsi="宋体" w:eastAsia="宋体" w:cs="宋体"/>
                <w:color w:val="auto"/>
                <w:sz w:val="23"/>
                <w:szCs w:val="23"/>
              </w:rPr>
            </w:pPr>
            <w:r>
              <w:rPr>
                <w:rFonts w:ascii="宋体" w:hAnsi="宋体" w:eastAsia="宋体" w:cs="宋体"/>
                <w:color w:val="auto"/>
                <w:spacing w:val="3"/>
                <w:position w:val="5"/>
                <w:sz w:val="23"/>
                <w:szCs w:val="23"/>
              </w:rPr>
              <w:t>安</w:t>
            </w:r>
            <w:r>
              <w:rPr>
                <w:rFonts w:ascii="宋体" w:hAnsi="宋体" w:eastAsia="宋体" w:cs="宋体"/>
                <w:color w:val="auto"/>
                <w:spacing w:val="2"/>
                <w:position w:val="5"/>
                <w:sz w:val="23"/>
                <w:szCs w:val="23"/>
              </w:rPr>
              <w:t>全</w:t>
            </w:r>
          </w:p>
          <w:p>
            <w:pPr>
              <w:spacing w:line="228" w:lineRule="auto"/>
              <w:ind w:left="192" w:leftChars="0"/>
              <w:jc w:val="center"/>
              <w:rPr>
                <w:rFonts w:ascii="宋体" w:hAnsi="宋体" w:eastAsia="宋体" w:cs="宋体"/>
                <w:color w:val="auto"/>
                <w:spacing w:val="4"/>
                <w:sz w:val="23"/>
                <w:szCs w:val="23"/>
              </w:rPr>
            </w:pPr>
            <w:r>
              <w:rPr>
                <w:rFonts w:ascii="宋体" w:hAnsi="宋体" w:eastAsia="宋体" w:cs="宋体"/>
                <w:color w:val="auto"/>
                <w:spacing w:val="4"/>
                <w:sz w:val="23"/>
                <w:szCs w:val="23"/>
              </w:rPr>
              <w:t>生产</w:t>
            </w:r>
          </w:p>
        </w:tc>
        <w:tc>
          <w:tcPr>
            <w:tcW w:w="750" w:type="dxa"/>
            <w:tcBorders>
              <w:left w:val="single" w:color="auto" w:sz="4" w:space="0"/>
            </w:tcBorders>
            <w:vAlign w:val="top"/>
          </w:tcPr>
          <w:p>
            <w:pPr>
              <w:spacing w:before="233" w:line="192" w:lineRule="auto"/>
              <w:ind w:left="329" w:leftChars="0"/>
              <w:rPr>
                <w:rFonts w:ascii="宋体" w:hAnsi="宋体" w:eastAsia="宋体" w:cs="宋体"/>
                <w:color w:val="auto"/>
                <w:sz w:val="23"/>
                <w:szCs w:val="23"/>
              </w:rPr>
            </w:pPr>
            <w:r>
              <w:rPr>
                <w:rFonts w:ascii="宋体" w:hAnsi="宋体" w:eastAsia="宋体" w:cs="宋体"/>
                <w:color w:val="auto"/>
                <w:sz w:val="23"/>
                <w:szCs w:val="23"/>
              </w:rPr>
              <w:t>1</w:t>
            </w:r>
          </w:p>
        </w:tc>
        <w:tc>
          <w:tcPr>
            <w:tcW w:w="7964" w:type="dxa"/>
            <w:vAlign w:val="top"/>
          </w:tcPr>
          <w:p>
            <w:pPr>
              <w:spacing w:before="39" w:line="236" w:lineRule="auto"/>
              <w:ind w:left="112" w:leftChars="0" w:right="107" w:rightChars="0"/>
              <w:rPr>
                <w:rFonts w:ascii="宋体" w:hAnsi="宋体" w:eastAsia="宋体" w:cs="宋体"/>
                <w:color w:val="auto"/>
                <w:spacing w:val="14"/>
                <w:sz w:val="23"/>
                <w:szCs w:val="23"/>
              </w:rPr>
            </w:pPr>
            <w:r>
              <w:rPr>
                <w:rFonts w:ascii="宋体" w:hAnsi="宋体" w:eastAsia="宋体" w:cs="宋体"/>
                <w:color w:val="auto"/>
                <w:spacing w:val="14"/>
                <w:sz w:val="23"/>
                <w:szCs w:val="23"/>
              </w:rPr>
              <w:t>桥</w:t>
            </w:r>
            <w:r>
              <w:rPr>
                <w:rFonts w:ascii="宋体" w:hAnsi="宋体" w:eastAsia="宋体" w:cs="宋体"/>
                <w:color w:val="auto"/>
                <w:spacing w:val="8"/>
                <w:sz w:val="23"/>
                <w:szCs w:val="23"/>
              </w:rPr>
              <w:t>梁施工现场及构件预制场、钢筋加工场、搅拌站、施工驻地须悬挂安全生</w:t>
            </w:r>
            <w:r>
              <w:rPr>
                <w:rFonts w:ascii="宋体" w:hAnsi="宋体" w:eastAsia="宋体" w:cs="宋体"/>
                <w:color w:val="auto"/>
                <w:spacing w:val="13"/>
                <w:sz w:val="23"/>
                <w:szCs w:val="23"/>
              </w:rPr>
              <w:t>产</w:t>
            </w:r>
            <w:r>
              <w:rPr>
                <w:rFonts w:ascii="宋体" w:hAnsi="宋体" w:eastAsia="宋体" w:cs="宋体"/>
                <w:color w:val="auto"/>
                <w:spacing w:val="7"/>
                <w:sz w:val="23"/>
                <w:szCs w:val="23"/>
              </w:rPr>
              <w:t>标牌，违者每处罚款1,000元。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0" w:hRule="atLeast"/>
          <w:jc w:val="center"/>
        </w:trPr>
        <w:tc>
          <w:tcPr>
            <w:tcW w:w="899" w:type="dxa"/>
            <w:vMerge w:val="continue"/>
            <w:tcBorders>
              <w:left w:val="single" w:color="auto" w:sz="4" w:space="0"/>
              <w:right w:val="single" w:color="auto" w:sz="4" w:space="0"/>
            </w:tcBorders>
            <w:vAlign w:val="top"/>
          </w:tcPr>
          <w:p>
            <w:pPr>
              <w:spacing w:line="228" w:lineRule="auto"/>
              <w:ind w:left="192" w:leftChars="0"/>
              <w:rPr>
                <w:rFonts w:ascii="宋体" w:hAnsi="宋体" w:eastAsia="宋体" w:cs="宋体"/>
                <w:color w:val="auto"/>
                <w:spacing w:val="4"/>
                <w:sz w:val="23"/>
                <w:szCs w:val="23"/>
              </w:rPr>
            </w:pPr>
          </w:p>
        </w:tc>
        <w:tc>
          <w:tcPr>
            <w:tcW w:w="750" w:type="dxa"/>
            <w:tcBorders>
              <w:left w:val="single" w:color="auto" w:sz="4" w:space="0"/>
            </w:tcBorders>
            <w:vAlign w:val="top"/>
          </w:tcPr>
          <w:p>
            <w:pPr>
              <w:spacing w:before="78" w:line="191" w:lineRule="auto"/>
              <w:ind w:left="314" w:leftChars="0"/>
              <w:rPr>
                <w:rFonts w:ascii="宋体" w:hAnsi="宋体" w:eastAsia="宋体" w:cs="宋体"/>
                <w:color w:val="auto"/>
                <w:sz w:val="23"/>
                <w:szCs w:val="23"/>
              </w:rPr>
            </w:pPr>
            <w:r>
              <w:rPr>
                <w:rFonts w:ascii="宋体" w:hAnsi="宋体" w:eastAsia="宋体" w:cs="宋体"/>
                <w:color w:val="auto"/>
                <w:sz w:val="23"/>
                <w:szCs w:val="23"/>
              </w:rPr>
              <w:t>2</w:t>
            </w:r>
          </w:p>
        </w:tc>
        <w:tc>
          <w:tcPr>
            <w:tcW w:w="7964" w:type="dxa"/>
            <w:vAlign w:val="top"/>
          </w:tcPr>
          <w:p>
            <w:pPr>
              <w:spacing w:before="40" w:line="221" w:lineRule="auto"/>
              <w:ind w:left="112" w:leftChars="0"/>
              <w:rPr>
                <w:rFonts w:ascii="宋体" w:hAnsi="宋体" w:eastAsia="宋体" w:cs="宋体"/>
                <w:color w:val="auto"/>
                <w:spacing w:val="14"/>
                <w:sz w:val="23"/>
                <w:szCs w:val="23"/>
              </w:rPr>
            </w:pPr>
            <w:r>
              <w:rPr>
                <w:rFonts w:ascii="宋体" w:hAnsi="宋体" w:eastAsia="宋体" w:cs="宋体"/>
                <w:color w:val="auto"/>
                <w:spacing w:val="16"/>
                <w:sz w:val="23"/>
                <w:szCs w:val="23"/>
              </w:rPr>
              <w:t>基坑</w:t>
            </w:r>
            <w:r>
              <w:rPr>
                <w:rFonts w:ascii="宋体" w:hAnsi="宋体" w:eastAsia="宋体" w:cs="宋体"/>
                <w:color w:val="auto"/>
                <w:spacing w:val="11"/>
                <w:sz w:val="23"/>
                <w:szCs w:val="23"/>
              </w:rPr>
              <w:t>开</w:t>
            </w:r>
            <w:r>
              <w:rPr>
                <w:rFonts w:ascii="宋体" w:hAnsi="宋体" w:eastAsia="宋体" w:cs="宋体"/>
                <w:color w:val="auto"/>
                <w:spacing w:val="8"/>
                <w:sz w:val="23"/>
                <w:szCs w:val="23"/>
              </w:rPr>
              <w:t>挖未有效围护的，桩孔施工后未加盖的，每处罚款1,000元。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right w:val="single" w:color="auto" w:sz="4" w:space="0"/>
            </w:tcBorders>
            <w:vAlign w:val="top"/>
          </w:tcPr>
          <w:p>
            <w:pPr>
              <w:spacing w:line="228" w:lineRule="auto"/>
              <w:ind w:left="192" w:leftChars="0"/>
              <w:rPr>
                <w:rFonts w:ascii="宋体" w:hAnsi="宋体" w:eastAsia="宋体" w:cs="宋体"/>
                <w:color w:val="auto"/>
                <w:spacing w:val="4"/>
                <w:sz w:val="23"/>
                <w:szCs w:val="23"/>
              </w:rPr>
            </w:pPr>
          </w:p>
        </w:tc>
        <w:tc>
          <w:tcPr>
            <w:tcW w:w="750" w:type="dxa"/>
            <w:tcBorders>
              <w:left w:val="single" w:color="auto" w:sz="4" w:space="0"/>
            </w:tcBorders>
            <w:vAlign w:val="top"/>
          </w:tcPr>
          <w:p>
            <w:pPr>
              <w:spacing w:line="312" w:lineRule="auto"/>
              <w:rPr>
                <w:rFonts w:ascii="Arial"/>
                <w:color w:val="auto"/>
                <w:sz w:val="21"/>
              </w:rPr>
            </w:pPr>
          </w:p>
          <w:p>
            <w:pPr>
              <w:spacing w:before="75" w:line="190" w:lineRule="auto"/>
              <w:ind w:left="316" w:leftChars="0"/>
              <w:rPr>
                <w:rFonts w:ascii="宋体" w:hAnsi="宋体" w:eastAsia="宋体" w:cs="宋体"/>
                <w:color w:val="auto"/>
                <w:sz w:val="23"/>
                <w:szCs w:val="23"/>
              </w:rPr>
            </w:pPr>
            <w:r>
              <w:rPr>
                <w:rFonts w:ascii="宋体" w:hAnsi="宋体" w:eastAsia="宋体" w:cs="宋体"/>
                <w:color w:val="auto"/>
                <w:sz w:val="23"/>
                <w:szCs w:val="23"/>
              </w:rPr>
              <w:t>3</w:t>
            </w:r>
          </w:p>
        </w:tc>
        <w:tc>
          <w:tcPr>
            <w:tcW w:w="7964" w:type="dxa"/>
            <w:vAlign w:val="top"/>
          </w:tcPr>
          <w:p>
            <w:pPr>
              <w:spacing w:before="41"/>
              <w:ind w:left="113" w:leftChars="0" w:right="107" w:rightChars="0" w:firstLine="27" w:firstLineChars="0"/>
              <w:rPr>
                <w:rFonts w:ascii="宋体" w:hAnsi="宋体" w:eastAsia="宋体" w:cs="宋体"/>
                <w:color w:val="auto"/>
                <w:spacing w:val="14"/>
                <w:sz w:val="23"/>
                <w:szCs w:val="23"/>
              </w:rPr>
            </w:pPr>
            <w:r>
              <w:rPr>
                <w:rFonts w:ascii="宋体" w:hAnsi="宋体" w:eastAsia="宋体" w:cs="宋体"/>
                <w:color w:val="auto"/>
                <w:spacing w:val="14"/>
                <w:sz w:val="23"/>
                <w:szCs w:val="23"/>
              </w:rPr>
              <w:t>电</w:t>
            </w:r>
            <w:r>
              <w:rPr>
                <w:rFonts w:ascii="宋体" w:hAnsi="宋体" w:eastAsia="宋体" w:cs="宋体"/>
                <w:color w:val="auto"/>
                <w:spacing w:val="11"/>
                <w:sz w:val="23"/>
                <w:szCs w:val="23"/>
              </w:rPr>
              <w:t>力</w:t>
            </w:r>
            <w:r>
              <w:rPr>
                <w:rFonts w:ascii="宋体" w:hAnsi="宋体" w:eastAsia="宋体" w:cs="宋体"/>
                <w:color w:val="auto"/>
                <w:spacing w:val="7"/>
                <w:sz w:val="23"/>
                <w:szCs w:val="23"/>
              </w:rPr>
              <w:t>线路架设零乱不牢固；电源线老化、绝缘损坏、接头处无包扎的；使用</w:t>
            </w:r>
            <w:r>
              <w:rPr>
                <w:rFonts w:ascii="宋体" w:hAnsi="宋体" w:eastAsia="宋体" w:cs="宋体"/>
                <w:color w:val="auto"/>
                <w:spacing w:val="13"/>
                <w:sz w:val="23"/>
                <w:szCs w:val="23"/>
              </w:rPr>
              <w:t>花</w:t>
            </w:r>
            <w:r>
              <w:rPr>
                <w:rFonts w:ascii="宋体" w:hAnsi="宋体" w:eastAsia="宋体" w:cs="宋体"/>
                <w:color w:val="auto"/>
                <w:spacing w:val="8"/>
                <w:sz w:val="23"/>
                <w:szCs w:val="23"/>
              </w:rPr>
              <w:t>线或劣质电线；不设电箱、漏电开关；施工现场未设安全警示牌，每处罚</w:t>
            </w:r>
            <w:r>
              <w:rPr>
                <w:rFonts w:ascii="宋体" w:hAnsi="宋体" w:eastAsia="宋体" w:cs="宋体"/>
                <w:color w:val="auto"/>
                <w:spacing w:val="6"/>
                <w:sz w:val="23"/>
                <w:szCs w:val="23"/>
              </w:rPr>
              <w:t>款</w:t>
            </w:r>
            <w:r>
              <w:rPr>
                <w:rFonts w:ascii="宋体" w:hAnsi="宋体" w:eastAsia="宋体" w:cs="宋体"/>
                <w:color w:val="auto"/>
                <w:spacing w:val="4"/>
                <w:sz w:val="23"/>
                <w:szCs w:val="23"/>
              </w:rPr>
              <w:t>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14" w:hRule="atLeast"/>
          <w:jc w:val="center"/>
        </w:trPr>
        <w:tc>
          <w:tcPr>
            <w:tcW w:w="899" w:type="dxa"/>
            <w:vMerge w:val="continue"/>
            <w:tcBorders>
              <w:left w:val="single" w:color="auto" w:sz="4" w:space="0"/>
              <w:right w:val="single" w:color="auto" w:sz="4" w:space="0"/>
            </w:tcBorders>
            <w:vAlign w:val="top"/>
          </w:tcPr>
          <w:p>
            <w:pPr>
              <w:spacing w:line="228" w:lineRule="auto"/>
              <w:ind w:left="192" w:leftChars="0"/>
              <w:rPr>
                <w:rFonts w:ascii="宋体" w:hAnsi="宋体" w:eastAsia="宋体" w:cs="宋体"/>
                <w:color w:val="auto"/>
                <w:spacing w:val="4"/>
                <w:sz w:val="23"/>
                <w:szCs w:val="23"/>
              </w:rPr>
            </w:pPr>
          </w:p>
        </w:tc>
        <w:tc>
          <w:tcPr>
            <w:tcW w:w="750" w:type="dxa"/>
            <w:tcBorders>
              <w:left w:val="single" w:color="auto" w:sz="4" w:space="0"/>
            </w:tcBorders>
            <w:vAlign w:val="top"/>
          </w:tcPr>
          <w:p>
            <w:pPr>
              <w:spacing w:before="79" w:line="190" w:lineRule="auto"/>
              <w:ind w:left="310" w:leftChars="0"/>
              <w:rPr>
                <w:rFonts w:ascii="宋体" w:hAnsi="宋体" w:eastAsia="宋体" w:cs="宋体"/>
                <w:color w:val="auto"/>
                <w:sz w:val="23"/>
                <w:szCs w:val="23"/>
              </w:rPr>
            </w:pPr>
            <w:r>
              <w:rPr>
                <w:rFonts w:ascii="宋体" w:hAnsi="宋体" w:eastAsia="宋体" w:cs="宋体"/>
                <w:color w:val="auto"/>
                <w:sz w:val="23"/>
                <w:szCs w:val="23"/>
              </w:rPr>
              <w:t>4</w:t>
            </w:r>
          </w:p>
        </w:tc>
        <w:tc>
          <w:tcPr>
            <w:tcW w:w="7964" w:type="dxa"/>
            <w:vAlign w:val="top"/>
          </w:tcPr>
          <w:p>
            <w:pPr>
              <w:spacing w:before="41" w:line="220" w:lineRule="auto"/>
              <w:ind w:left="119" w:leftChars="0"/>
              <w:rPr>
                <w:rFonts w:ascii="宋体" w:hAnsi="宋体" w:eastAsia="宋体" w:cs="宋体"/>
                <w:color w:val="auto"/>
                <w:spacing w:val="14"/>
                <w:sz w:val="23"/>
                <w:szCs w:val="23"/>
              </w:rPr>
            </w:pPr>
            <w:r>
              <w:rPr>
                <w:rFonts w:ascii="宋体" w:hAnsi="宋体" w:eastAsia="宋体" w:cs="宋体"/>
                <w:color w:val="auto"/>
                <w:spacing w:val="8"/>
                <w:sz w:val="23"/>
                <w:szCs w:val="23"/>
              </w:rPr>
              <w:t>高空作业未</w:t>
            </w:r>
            <w:r>
              <w:rPr>
                <w:rFonts w:ascii="宋体" w:hAnsi="宋体" w:eastAsia="宋体" w:cs="宋体"/>
                <w:color w:val="auto"/>
                <w:spacing w:val="7"/>
                <w:sz w:val="23"/>
                <w:szCs w:val="23"/>
              </w:rPr>
              <w:t>设</w:t>
            </w:r>
            <w:r>
              <w:rPr>
                <w:rFonts w:ascii="宋体" w:hAnsi="宋体" w:eastAsia="宋体" w:cs="宋体"/>
                <w:color w:val="auto"/>
                <w:spacing w:val="4"/>
                <w:sz w:val="23"/>
                <w:szCs w:val="23"/>
              </w:rPr>
              <w:t>置稳固爬梯；不设围栏、安全网，每处罚款1,000元。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899" w:type="dxa"/>
            <w:vMerge w:val="continue"/>
            <w:tcBorders>
              <w:left w:val="single" w:color="auto" w:sz="4" w:space="0"/>
              <w:bottom w:val="single" w:color="auto" w:sz="4" w:space="0"/>
              <w:right w:val="single" w:color="auto" w:sz="4" w:space="0"/>
            </w:tcBorders>
            <w:vAlign w:val="top"/>
          </w:tcPr>
          <w:p>
            <w:pPr>
              <w:spacing w:line="228" w:lineRule="auto"/>
              <w:ind w:left="192" w:leftChars="0"/>
              <w:rPr>
                <w:rFonts w:ascii="宋体" w:hAnsi="宋体" w:eastAsia="宋体" w:cs="宋体"/>
                <w:color w:val="auto"/>
                <w:spacing w:val="4"/>
                <w:sz w:val="23"/>
                <w:szCs w:val="23"/>
              </w:rPr>
            </w:pPr>
          </w:p>
        </w:tc>
        <w:tc>
          <w:tcPr>
            <w:tcW w:w="750" w:type="dxa"/>
            <w:tcBorders>
              <w:left w:val="single" w:color="auto" w:sz="4" w:space="0"/>
            </w:tcBorders>
            <w:vAlign w:val="top"/>
          </w:tcPr>
          <w:p>
            <w:pPr>
              <w:spacing w:before="81" w:line="189" w:lineRule="auto"/>
              <w:ind w:left="316" w:leftChars="0"/>
              <w:rPr>
                <w:rFonts w:ascii="宋体" w:hAnsi="宋体" w:eastAsia="宋体" w:cs="宋体"/>
                <w:color w:val="auto"/>
                <w:sz w:val="23"/>
                <w:szCs w:val="23"/>
              </w:rPr>
            </w:pPr>
            <w:r>
              <w:rPr>
                <w:rFonts w:ascii="宋体" w:hAnsi="宋体" w:eastAsia="宋体" w:cs="宋体"/>
                <w:color w:val="auto"/>
                <w:sz w:val="23"/>
                <w:szCs w:val="23"/>
              </w:rPr>
              <w:t>5</w:t>
            </w:r>
          </w:p>
        </w:tc>
        <w:tc>
          <w:tcPr>
            <w:tcW w:w="7964" w:type="dxa"/>
            <w:vAlign w:val="top"/>
          </w:tcPr>
          <w:p>
            <w:pPr>
              <w:spacing w:before="42" w:line="222" w:lineRule="auto"/>
              <w:ind w:left="112" w:leftChars="0"/>
              <w:rPr>
                <w:rFonts w:ascii="宋体" w:hAnsi="宋体" w:eastAsia="宋体" w:cs="宋体"/>
                <w:color w:val="auto"/>
                <w:spacing w:val="14"/>
                <w:sz w:val="23"/>
                <w:szCs w:val="23"/>
              </w:rPr>
            </w:pPr>
            <w:r>
              <w:rPr>
                <w:rFonts w:ascii="宋体" w:hAnsi="宋体" w:eastAsia="宋体" w:cs="宋体"/>
                <w:color w:val="auto"/>
                <w:spacing w:val="18"/>
                <w:sz w:val="23"/>
                <w:szCs w:val="23"/>
              </w:rPr>
              <w:t>爆</w:t>
            </w:r>
            <w:r>
              <w:rPr>
                <w:rFonts w:ascii="宋体" w:hAnsi="宋体" w:eastAsia="宋体" w:cs="宋体"/>
                <w:color w:val="auto"/>
                <w:spacing w:val="13"/>
                <w:sz w:val="23"/>
                <w:szCs w:val="23"/>
              </w:rPr>
              <w:t>破</w:t>
            </w:r>
            <w:r>
              <w:rPr>
                <w:rFonts w:ascii="宋体" w:hAnsi="宋体" w:eastAsia="宋体" w:cs="宋体"/>
                <w:color w:val="auto"/>
                <w:spacing w:val="9"/>
                <w:sz w:val="23"/>
                <w:szCs w:val="23"/>
              </w:rPr>
              <w:t>作业应按批准的爆破方案及施工安全技术规程的要求进行，并对人身、</w:t>
            </w:r>
            <w:r>
              <w:rPr>
                <w:rFonts w:ascii="宋体" w:hAnsi="宋体" w:eastAsia="宋体" w:cs="宋体"/>
                <w:color w:val="auto"/>
                <w:spacing w:val="16"/>
                <w:sz w:val="23"/>
                <w:szCs w:val="23"/>
              </w:rPr>
              <w:t>工</w:t>
            </w:r>
            <w:r>
              <w:rPr>
                <w:rFonts w:ascii="宋体" w:hAnsi="宋体" w:eastAsia="宋体" w:cs="宋体"/>
                <w:color w:val="auto"/>
                <w:spacing w:val="10"/>
                <w:sz w:val="23"/>
                <w:szCs w:val="23"/>
              </w:rPr>
              <w:t>程</w:t>
            </w:r>
            <w:r>
              <w:rPr>
                <w:rFonts w:ascii="宋体" w:hAnsi="宋体" w:eastAsia="宋体" w:cs="宋体"/>
                <w:color w:val="auto"/>
                <w:spacing w:val="8"/>
                <w:sz w:val="23"/>
                <w:szCs w:val="23"/>
              </w:rPr>
              <w:t>本身及所有财产采取保护措施，违者每次罚款2,000元。</w:t>
            </w:r>
          </w:p>
        </w:tc>
      </w:tr>
    </w:tbl>
    <w:p>
      <w:pPr>
        <w:rPr>
          <w:color w:val="auto"/>
          <w:sz w:val="21"/>
        </w:rPr>
        <w:sectPr>
          <w:pgSz w:w="11911" w:h="16838"/>
          <w:pgMar w:top="1247" w:right="1134" w:bottom="1247" w:left="1134" w:header="737" w:footer="850" w:gutter="0"/>
          <w:pgNumType w:fmt="numberInDash"/>
          <w:cols w:space="0" w:num="1"/>
          <w:rtlGutter w:val="0"/>
          <w:docGrid w:linePitch="0" w:charSpace="0"/>
        </w:sectPr>
      </w:pPr>
    </w:p>
    <w:tbl>
      <w:tblPr>
        <w:tblStyle w:val="25"/>
        <w:tblW w:w="94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64"/>
        <w:gridCol w:w="566"/>
        <w:gridCol w:w="77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jc w:val="center"/>
        </w:trPr>
        <w:tc>
          <w:tcPr>
            <w:tcW w:w="1164" w:type="dxa"/>
            <w:vMerge w:val="restart"/>
          </w:tcPr>
          <w:p>
            <w:pPr>
              <w:rPr>
                <w:color w:val="auto"/>
                <w:sz w:val="2"/>
                <w:szCs w:val="2"/>
              </w:rPr>
            </w:pPr>
          </w:p>
        </w:tc>
        <w:tc>
          <w:tcPr>
            <w:tcW w:w="566" w:type="dxa"/>
          </w:tcPr>
          <w:p>
            <w:pPr>
              <w:pStyle w:val="32"/>
              <w:spacing w:before="85"/>
              <w:ind w:left="230"/>
              <w:rPr>
                <w:color w:val="auto"/>
                <w:sz w:val="21"/>
              </w:rPr>
            </w:pPr>
            <w:r>
              <w:rPr>
                <w:color w:val="auto"/>
                <w:sz w:val="21"/>
              </w:rPr>
              <w:t>6</w:t>
            </w:r>
          </w:p>
        </w:tc>
        <w:tc>
          <w:tcPr>
            <w:tcW w:w="7733" w:type="dxa"/>
          </w:tcPr>
          <w:p>
            <w:pPr>
              <w:pStyle w:val="32"/>
              <w:spacing w:before="85"/>
              <w:ind w:left="109"/>
              <w:rPr>
                <w:color w:val="auto"/>
                <w:sz w:val="21"/>
              </w:rPr>
            </w:pPr>
            <w:r>
              <w:rPr>
                <w:color w:val="auto"/>
                <w:sz w:val="21"/>
              </w:rPr>
              <w:t>爆破器材设专人保管，严格领用手续，违者每次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4" w:hRule="atLeast"/>
          <w:jc w:val="center"/>
        </w:trPr>
        <w:tc>
          <w:tcPr>
            <w:tcW w:w="1164" w:type="dxa"/>
            <w:vMerge w:val="continue"/>
          </w:tcPr>
          <w:p>
            <w:pPr>
              <w:rPr>
                <w:color w:val="auto"/>
                <w:sz w:val="2"/>
                <w:szCs w:val="2"/>
              </w:rPr>
            </w:pPr>
          </w:p>
        </w:tc>
        <w:tc>
          <w:tcPr>
            <w:tcW w:w="566" w:type="dxa"/>
          </w:tcPr>
          <w:p>
            <w:pPr>
              <w:pStyle w:val="32"/>
              <w:spacing w:before="3"/>
              <w:rPr>
                <w:rFonts w:ascii="Times New Roman"/>
                <w:color w:val="auto"/>
                <w:sz w:val="19"/>
              </w:rPr>
            </w:pPr>
          </w:p>
          <w:p>
            <w:pPr>
              <w:pStyle w:val="32"/>
              <w:ind w:left="230"/>
              <w:rPr>
                <w:color w:val="auto"/>
                <w:sz w:val="21"/>
              </w:rPr>
            </w:pPr>
            <w:r>
              <w:rPr>
                <w:color w:val="auto"/>
                <w:sz w:val="21"/>
              </w:rPr>
              <w:t>7</w:t>
            </w:r>
          </w:p>
        </w:tc>
        <w:tc>
          <w:tcPr>
            <w:tcW w:w="7733" w:type="dxa"/>
          </w:tcPr>
          <w:p>
            <w:pPr>
              <w:pStyle w:val="32"/>
              <w:spacing w:before="85"/>
              <w:ind w:left="108"/>
              <w:rPr>
                <w:color w:val="auto"/>
                <w:sz w:val="21"/>
              </w:rPr>
            </w:pPr>
            <w:r>
              <w:rPr>
                <w:color w:val="auto"/>
                <w:sz w:val="21"/>
              </w:rPr>
              <w:t>对于安全风险大的高空作业、梁板吊装，要求制订安全预案，违者每次违约金</w:t>
            </w:r>
          </w:p>
          <w:p>
            <w:pPr>
              <w:pStyle w:val="32"/>
              <w:spacing w:before="3"/>
              <w:ind w:left="108"/>
              <w:rPr>
                <w:color w:val="auto"/>
                <w:sz w:val="21"/>
              </w:rPr>
            </w:pP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5" w:hRule="atLeast"/>
          <w:jc w:val="center"/>
        </w:trPr>
        <w:tc>
          <w:tcPr>
            <w:tcW w:w="1164" w:type="dxa"/>
            <w:vMerge w:val="continue"/>
          </w:tcPr>
          <w:p>
            <w:pPr>
              <w:rPr>
                <w:color w:val="auto"/>
                <w:sz w:val="2"/>
                <w:szCs w:val="2"/>
              </w:rPr>
            </w:pPr>
          </w:p>
        </w:tc>
        <w:tc>
          <w:tcPr>
            <w:tcW w:w="566" w:type="dxa"/>
          </w:tcPr>
          <w:p>
            <w:pPr>
              <w:pStyle w:val="32"/>
              <w:spacing w:before="3"/>
              <w:rPr>
                <w:rFonts w:ascii="Times New Roman"/>
                <w:color w:val="auto"/>
                <w:sz w:val="19"/>
              </w:rPr>
            </w:pPr>
          </w:p>
          <w:p>
            <w:pPr>
              <w:pStyle w:val="32"/>
              <w:ind w:left="230"/>
              <w:rPr>
                <w:color w:val="auto"/>
                <w:sz w:val="21"/>
              </w:rPr>
            </w:pPr>
            <w:r>
              <w:rPr>
                <w:color w:val="auto"/>
                <w:sz w:val="21"/>
              </w:rPr>
              <w:t>8</w:t>
            </w:r>
          </w:p>
        </w:tc>
        <w:tc>
          <w:tcPr>
            <w:tcW w:w="7733" w:type="dxa"/>
          </w:tcPr>
          <w:p>
            <w:pPr>
              <w:pStyle w:val="32"/>
              <w:spacing w:before="85" w:line="242" w:lineRule="auto"/>
              <w:ind w:left="108" w:right="34"/>
              <w:rPr>
                <w:color w:val="auto"/>
                <w:sz w:val="21"/>
              </w:rPr>
            </w:pPr>
            <w:r>
              <w:rPr>
                <w:color w:val="auto"/>
                <w:sz w:val="21"/>
              </w:rPr>
              <w:t>梁板吊运安装施工方案应经过监理人审批，吊车、龙门架、架</w:t>
            </w:r>
            <w:r>
              <w:rPr>
                <w:rFonts w:hint="eastAsia"/>
                <w:color w:val="auto"/>
                <w:sz w:val="21"/>
              </w:rPr>
              <w:t>标</w:t>
            </w:r>
            <w:r>
              <w:rPr>
                <w:color w:val="auto"/>
                <w:sz w:val="21"/>
              </w:rPr>
              <w:t>机要经过安全生产管理部门检查合格，才能施工作业，违者每次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5" w:hRule="atLeast"/>
          <w:jc w:val="center"/>
        </w:trPr>
        <w:tc>
          <w:tcPr>
            <w:tcW w:w="1164" w:type="dxa"/>
            <w:vMerge w:val="continue"/>
          </w:tcPr>
          <w:p>
            <w:pPr>
              <w:rPr>
                <w:color w:val="auto"/>
                <w:sz w:val="2"/>
                <w:szCs w:val="2"/>
              </w:rPr>
            </w:pPr>
          </w:p>
        </w:tc>
        <w:tc>
          <w:tcPr>
            <w:tcW w:w="566" w:type="dxa"/>
            <w:vAlign w:val="top"/>
          </w:tcPr>
          <w:p>
            <w:pPr>
              <w:spacing w:line="308" w:lineRule="auto"/>
              <w:rPr>
                <w:rFonts w:ascii="Arial"/>
                <w:color w:val="auto"/>
                <w:sz w:val="21"/>
              </w:rPr>
            </w:pPr>
          </w:p>
          <w:p>
            <w:pPr>
              <w:spacing w:line="309" w:lineRule="auto"/>
              <w:rPr>
                <w:rFonts w:ascii="Arial"/>
                <w:color w:val="auto"/>
                <w:sz w:val="21"/>
              </w:rPr>
            </w:pPr>
          </w:p>
          <w:p>
            <w:pPr>
              <w:spacing w:line="309" w:lineRule="auto"/>
              <w:rPr>
                <w:rFonts w:ascii="Arial"/>
                <w:color w:val="auto"/>
                <w:sz w:val="21"/>
              </w:rPr>
            </w:pPr>
          </w:p>
          <w:p>
            <w:pPr>
              <w:spacing w:before="75" w:line="190" w:lineRule="auto"/>
              <w:ind w:left="312" w:leftChars="0"/>
              <w:rPr>
                <w:color w:val="auto"/>
                <w:sz w:val="21"/>
              </w:rPr>
            </w:pPr>
            <w:r>
              <w:rPr>
                <w:rFonts w:ascii="宋体" w:hAnsi="宋体" w:eastAsia="宋体" w:cs="宋体"/>
                <w:color w:val="auto"/>
                <w:sz w:val="23"/>
                <w:szCs w:val="23"/>
              </w:rPr>
              <w:t>9</w:t>
            </w:r>
          </w:p>
        </w:tc>
        <w:tc>
          <w:tcPr>
            <w:tcW w:w="7733" w:type="dxa"/>
            <w:vAlign w:val="top"/>
          </w:tcPr>
          <w:p>
            <w:pPr>
              <w:spacing w:before="38" w:line="224" w:lineRule="auto"/>
              <w:ind w:left="133"/>
              <w:rPr>
                <w:rFonts w:ascii="宋体" w:hAnsi="宋体" w:eastAsia="宋体" w:cs="宋体"/>
                <w:color w:val="auto"/>
                <w:sz w:val="23"/>
                <w:szCs w:val="23"/>
              </w:rPr>
            </w:pPr>
            <w:r>
              <w:rPr>
                <w:rFonts w:ascii="宋体" w:hAnsi="宋体" w:eastAsia="宋体" w:cs="宋体"/>
                <w:color w:val="auto"/>
                <w:spacing w:val="8"/>
                <w:sz w:val="23"/>
                <w:szCs w:val="23"/>
              </w:rPr>
              <w:t>出</w:t>
            </w:r>
            <w:r>
              <w:rPr>
                <w:rFonts w:ascii="宋体" w:hAnsi="宋体" w:eastAsia="宋体" w:cs="宋体"/>
                <w:color w:val="auto"/>
                <w:spacing w:val="6"/>
                <w:sz w:val="23"/>
                <w:szCs w:val="23"/>
              </w:rPr>
              <w:t>现以下情况每次罚款2,000元：</w:t>
            </w:r>
          </w:p>
          <w:p>
            <w:pPr>
              <w:spacing w:before="29" w:line="227" w:lineRule="auto"/>
              <w:ind w:left="124"/>
              <w:rPr>
                <w:rFonts w:ascii="宋体" w:hAnsi="宋体" w:eastAsia="宋体" w:cs="宋体"/>
                <w:color w:val="auto"/>
                <w:sz w:val="23"/>
                <w:szCs w:val="23"/>
              </w:rPr>
            </w:pPr>
            <w:r>
              <w:rPr>
                <w:rFonts w:ascii="宋体" w:hAnsi="宋体" w:eastAsia="宋体" w:cs="宋体"/>
                <w:color w:val="auto"/>
                <w:spacing w:val="17"/>
                <w:sz w:val="23"/>
                <w:szCs w:val="23"/>
              </w:rPr>
              <w:t>(</w:t>
            </w:r>
            <w:r>
              <w:rPr>
                <w:rFonts w:ascii="宋体" w:hAnsi="宋体" w:eastAsia="宋体" w:cs="宋体"/>
                <w:color w:val="auto"/>
                <w:spacing w:val="12"/>
                <w:sz w:val="23"/>
                <w:szCs w:val="23"/>
              </w:rPr>
              <w:t>1)施工车辆和机械带病上岗，操作人员无证上岗和违反操作规程；</w:t>
            </w:r>
          </w:p>
          <w:p>
            <w:pPr>
              <w:spacing w:before="30" w:line="227" w:lineRule="auto"/>
              <w:ind w:left="124"/>
              <w:rPr>
                <w:rFonts w:ascii="宋体" w:hAnsi="宋体" w:eastAsia="宋体" w:cs="宋体"/>
                <w:color w:val="auto"/>
                <w:sz w:val="23"/>
                <w:szCs w:val="23"/>
              </w:rPr>
            </w:pPr>
            <w:r>
              <w:rPr>
                <w:rFonts w:ascii="宋体" w:hAnsi="宋体" w:eastAsia="宋体" w:cs="宋体"/>
                <w:color w:val="auto"/>
                <w:spacing w:val="24"/>
                <w:sz w:val="23"/>
                <w:szCs w:val="23"/>
              </w:rPr>
              <w:t>(</w:t>
            </w:r>
            <w:r>
              <w:rPr>
                <w:rFonts w:ascii="宋体" w:hAnsi="宋体" w:eastAsia="宋体" w:cs="宋体"/>
                <w:color w:val="auto"/>
                <w:spacing w:val="15"/>
                <w:sz w:val="23"/>
                <w:szCs w:val="23"/>
              </w:rPr>
              <w:t>2</w:t>
            </w:r>
            <w:r>
              <w:rPr>
                <w:rFonts w:ascii="宋体" w:hAnsi="宋体" w:eastAsia="宋体" w:cs="宋体"/>
                <w:color w:val="auto"/>
                <w:spacing w:val="12"/>
                <w:sz w:val="23"/>
                <w:szCs w:val="23"/>
              </w:rPr>
              <w:t>)发生各种事故苗头及事故未及时不整改和隐瞒不报；</w:t>
            </w:r>
          </w:p>
          <w:p>
            <w:pPr>
              <w:spacing w:before="26" w:line="227" w:lineRule="auto"/>
              <w:ind w:left="124"/>
              <w:rPr>
                <w:rFonts w:ascii="宋体" w:hAnsi="宋体" w:eastAsia="宋体" w:cs="宋体"/>
                <w:color w:val="auto"/>
                <w:sz w:val="23"/>
                <w:szCs w:val="23"/>
              </w:rPr>
            </w:pPr>
            <w:r>
              <w:rPr>
                <w:rFonts w:ascii="宋体" w:hAnsi="宋体" w:eastAsia="宋体" w:cs="宋体"/>
                <w:color w:val="auto"/>
                <w:spacing w:val="13"/>
                <w:sz w:val="23"/>
                <w:szCs w:val="23"/>
              </w:rPr>
              <w:t>(3)每月安全大检查，安全管理人员无故不在位</w:t>
            </w:r>
            <w:r>
              <w:rPr>
                <w:rFonts w:ascii="宋体" w:hAnsi="宋体" w:eastAsia="宋体" w:cs="宋体"/>
                <w:color w:val="auto"/>
                <w:spacing w:val="10"/>
                <w:sz w:val="23"/>
                <w:szCs w:val="23"/>
              </w:rPr>
              <w:t>；</w:t>
            </w:r>
          </w:p>
          <w:p>
            <w:pPr>
              <w:spacing w:before="28" w:line="227" w:lineRule="auto"/>
              <w:ind w:left="124"/>
              <w:rPr>
                <w:rFonts w:ascii="宋体" w:hAnsi="宋体" w:eastAsia="宋体" w:cs="宋体"/>
                <w:color w:val="auto"/>
                <w:sz w:val="23"/>
                <w:szCs w:val="23"/>
              </w:rPr>
            </w:pPr>
            <w:r>
              <w:rPr>
                <w:rFonts w:ascii="宋体" w:hAnsi="宋体" w:eastAsia="宋体" w:cs="宋体"/>
                <w:color w:val="auto"/>
                <w:spacing w:val="22"/>
                <w:sz w:val="23"/>
                <w:szCs w:val="23"/>
              </w:rPr>
              <w:t>(</w:t>
            </w:r>
            <w:r>
              <w:rPr>
                <w:rFonts w:ascii="宋体" w:hAnsi="宋体" w:eastAsia="宋体" w:cs="宋体"/>
                <w:color w:val="auto"/>
                <w:spacing w:val="13"/>
                <w:sz w:val="23"/>
                <w:szCs w:val="23"/>
              </w:rPr>
              <w:t>4)主要施工机械设备应悬挂操作规程；</w:t>
            </w:r>
          </w:p>
          <w:p>
            <w:pPr>
              <w:spacing w:before="29" w:line="228" w:lineRule="auto"/>
              <w:ind w:left="124"/>
              <w:rPr>
                <w:rFonts w:ascii="宋体" w:hAnsi="宋体" w:eastAsia="宋体" w:cs="宋体"/>
                <w:color w:val="auto"/>
                <w:sz w:val="23"/>
                <w:szCs w:val="23"/>
              </w:rPr>
            </w:pPr>
            <w:r>
              <w:rPr>
                <w:rFonts w:ascii="宋体" w:hAnsi="宋体" w:eastAsia="宋体" w:cs="宋体"/>
                <w:color w:val="auto"/>
                <w:spacing w:val="13"/>
                <w:sz w:val="23"/>
                <w:szCs w:val="23"/>
              </w:rPr>
              <w:t>(5)作业人员酒后作业、机器设备带病作业的；</w:t>
            </w:r>
          </w:p>
          <w:p>
            <w:pPr>
              <w:spacing w:before="28" w:line="223" w:lineRule="auto"/>
              <w:ind w:left="124" w:leftChars="0"/>
              <w:rPr>
                <w:color w:val="auto"/>
                <w:sz w:val="21"/>
              </w:rPr>
            </w:pPr>
            <w:r>
              <w:rPr>
                <w:rFonts w:ascii="宋体" w:hAnsi="宋体" w:eastAsia="宋体" w:cs="宋体"/>
                <w:color w:val="auto"/>
                <w:spacing w:val="13"/>
                <w:sz w:val="23"/>
                <w:szCs w:val="23"/>
              </w:rPr>
              <w:t>(6)施工未进行安全交底，安全交底无记录的。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82" w:hRule="atLeast"/>
          <w:jc w:val="center"/>
        </w:trPr>
        <w:tc>
          <w:tcPr>
            <w:tcW w:w="1164" w:type="dxa"/>
            <w:vMerge w:val="continue"/>
          </w:tcPr>
          <w:p>
            <w:pPr>
              <w:rPr>
                <w:color w:val="auto"/>
                <w:sz w:val="2"/>
                <w:szCs w:val="2"/>
              </w:rPr>
            </w:pPr>
          </w:p>
        </w:tc>
        <w:tc>
          <w:tcPr>
            <w:tcW w:w="566" w:type="dxa"/>
            <w:vAlign w:val="top"/>
          </w:tcPr>
          <w:p>
            <w:pPr>
              <w:spacing w:line="309" w:lineRule="auto"/>
              <w:rPr>
                <w:rFonts w:ascii="Arial"/>
                <w:color w:val="auto"/>
                <w:sz w:val="21"/>
              </w:rPr>
            </w:pPr>
          </w:p>
          <w:p>
            <w:pPr>
              <w:spacing w:line="309" w:lineRule="auto"/>
              <w:rPr>
                <w:rFonts w:ascii="Arial"/>
                <w:color w:val="auto"/>
                <w:sz w:val="21"/>
              </w:rPr>
            </w:pPr>
          </w:p>
          <w:p>
            <w:pPr>
              <w:spacing w:line="310" w:lineRule="auto"/>
              <w:rPr>
                <w:rFonts w:ascii="Arial"/>
                <w:color w:val="auto"/>
                <w:sz w:val="21"/>
              </w:rPr>
            </w:pPr>
          </w:p>
          <w:p>
            <w:pPr>
              <w:spacing w:before="74" w:line="191" w:lineRule="auto"/>
              <w:ind w:left="269" w:leftChars="0"/>
              <w:rPr>
                <w:color w:val="auto"/>
                <w:sz w:val="21"/>
              </w:rPr>
            </w:pPr>
            <w:r>
              <w:rPr>
                <w:rFonts w:ascii="宋体" w:hAnsi="宋体" w:eastAsia="宋体" w:cs="宋体"/>
                <w:color w:val="auto"/>
                <w:spacing w:val="-10"/>
                <w:sz w:val="23"/>
                <w:szCs w:val="23"/>
              </w:rPr>
              <w:t>1</w:t>
            </w:r>
            <w:r>
              <w:rPr>
                <w:rFonts w:ascii="宋体" w:hAnsi="宋体" w:eastAsia="宋体" w:cs="宋体"/>
                <w:color w:val="auto"/>
                <w:spacing w:val="-8"/>
                <w:sz w:val="23"/>
                <w:szCs w:val="23"/>
              </w:rPr>
              <w:t>0</w:t>
            </w:r>
          </w:p>
        </w:tc>
        <w:tc>
          <w:tcPr>
            <w:tcW w:w="7733" w:type="dxa"/>
            <w:vAlign w:val="top"/>
          </w:tcPr>
          <w:p>
            <w:pPr>
              <w:spacing w:before="38" w:line="228" w:lineRule="auto"/>
              <w:ind w:left="112"/>
              <w:rPr>
                <w:rFonts w:ascii="宋体" w:hAnsi="宋体" w:eastAsia="宋体" w:cs="宋体"/>
                <w:color w:val="auto"/>
                <w:sz w:val="23"/>
                <w:szCs w:val="23"/>
              </w:rPr>
            </w:pPr>
            <w:r>
              <w:rPr>
                <w:rFonts w:ascii="宋体" w:hAnsi="宋体" w:eastAsia="宋体" w:cs="宋体"/>
                <w:color w:val="auto"/>
                <w:spacing w:val="16"/>
                <w:sz w:val="23"/>
                <w:szCs w:val="23"/>
              </w:rPr>
              <w:t>施</w:t>
            </w:r>
            <w:r>
              <w:rPr>
                <w:rFonts w:ascii="宋体" w:hAnsi="宋体" w:eastAsia="宋体" w:cs="宋体"/>
                <w:color w:val="auto"/>
                <w:spacing w:val="9"/>
                <w:sz w:val="23"/>
                <w:szCs w:val="23"/>
              </w:rPr>
              <w:t>工</w:t>
            </w:r>
            <w:r>
              <w:rPr>
                <w:rFonts w:ascii="宋体" w:hAnsi="宋体" w:eastAsia="宋体" w:cs="宋体"/>
                <w:color w:val="auto"/>
                <w:spacing w:val="8"/>
                <w:sz w:val="23"/>
                <w:szCs w:val="23"/>
              </w:rPr>
              <w:t>现场人员出现以下情况，每人/次罚款500元：</w:t>
            </w:r>
          </w:p>
          <w:p>
            <w:pPr>
              <w:spacing w:before="24" w:line="227" w:lineRule="auto"/>
              <w:ind w:left="124"/>
              <w:rPr>
                <w:rFonts w:ascii="宋体" w:hAnsi="宋体" w:eastAsia="宋体" w:cs="宋体"/>
                <w:color w:val="auto"/>
                <w:sz w:val="23"/>
                <w:szCs w:val="23"/>
              </w:rPr>
            </w:pPr>
            <w:r>
              <w:rPr>
                <w:rFonts w:ascii="宋体" w:hAnsi="宋体" w:eastAsia="宋体" w:cs="宋体"/>
                <w:color w:val="auto"/>
                <w:spacing w:val="17"/>
                <w:sz w:val="23"/>
                <w:szCs w:val="23"/>
              </w:rPr>
              <w:t>(1)不戴安全帽</w:t>
            </w:r>
            <w:r>
              <w:rPr>
                <w:rFonts w:ascii="宋体" w:hAnsi="宋体" w:eastAsia="宋体" w:cs="宋体"/>
                <w:color w:val="auto"/>
                <w:spacing w:val="16"/>
                <w:sz w:val="23"/>
                <w:szCs w:val="23"/>
              </w:rPr>
              <w:t>；</w:t>
            </w:r>
          </w:p>
          <w:p>
            <w:pPr>
              <w:spacing w:before="30" w:line="227" w:lineRule="auto"/>
              <w:ind w:left="124"/>
              <w:rPr>
                <w:rFonts w:ascii="宋体" w:hAnsi="宋体" w:eastAsia="宋体" w:cs="宋体"/>
                <w:color w:val="auto"/>
                <w:sz w:val="23"/>
                <w:szCs w:val="23"/>
              </w:rPr>
            </w:pPr>
            <w:r>
              <w:rPr>
                <w:rFonts w:ascii="宋体" w:hAnsi="宋体" w:eastAsia="宋体" w:cs="宋体"/>
                <w:color w:val="auto"/>
                <w:spacing w:val="15"/>
                <w:sz w:val="23"/>
                <w:szCs w:val="23"/>
              </w:rPr>
              <w:t>(2)高空作业不系安全带</w:t>
            </w:r>
            <w:r>
              <w:rPr>
                <w:rFonts w:ascii="宋体" w:hAnsi="宋体" w:eastAsia="宋体" w:cs="宋体"/>
                <w:color w:val="auto"/>
                <w:spacing w:val="14"/>
                <w:sz w:val="23"/>
                <w:szCs w:val="23"/>
              </w:rPr>
              <w:t>；</w:t>
            </w:r>
          </w:p>
          <w:p>
            <w:pPr>
              <w:spacing w:before="29" w:line="227" w:lineRule="auto"/>
              <w:ind w:left="124"/>
              <w:rPr>
                <w:rFonts w:ascii="宋体" w:hAnsi="宋体" w:eastAsia="宋体" w:cs="宋体"/>
                <w:color w:val="auto"/>
                <w:sz w:val="23"/>
                <w:szCs w:val="23"/>
              </w:rPr>
            </w:pPr>
            <w:r>
              <w:rPr>
                <w:rFonts w:ascii="宋体" w:hAnsi="宋体" w:eastAsia="宋体" w:cs="宋体"/>
                <w:color w:val="auto"/>
                <w:spacing w:val="15"/>
                <w:sz w:val="23"/>
                <w:szCs w:val="23"/>
              </w:rPr>
              <w:t>(3)水上作业不穿救生衣</w:t>
            </w:r>
            <w:r>
              <w:rPr>
                <w:rFonts w:ascii="宋体" w:hAnsi="宋体" w:eastAsia="宋体" w:cs="宋体"/>
                <w:color w:val="auto"/>
                <w:spacing w:val="14"/>
                <w:sz w:val="23"/>
                <w:szCs w:val="23"/>
              </w:rPr>
              <w:t>；</w:t>
            </w:r>
          </w:p>
          <w:p>
            <w:pPr>
              <w:spacing w:before="28" w:line="227" w:lineRule="auto"/>
              <w:ind w:left="124"/>
              <w:rPr>
                <w:rFonts w:ascii="宋体" w:hAnsi="宋体" w:eastAsia="宋体" w:cs="宋体"/>
                <w:color w:val="auto"/>
                <w:sz w:val="23"/>
                <w:szCs w:val="23"/>
              </w:rPr>
            </w:pPr>
            <w:r>
              <w:rPr>
                <w:rFonts w:ascii="宋体" w:hAnsi="宋体" w:eastAsia="宋体" w:cs="宋体"/>
                <w:color w:val="auto"/>
                <w:spacing w:val="19"/>
                <w:sz w:val="23"/>
                <w:szCs w:val="23"/>
              </w:rPr>
              <w:t>(</w:t>
            </w:r>
            <w:r>
              <w:rPr>
                <w:rFonts w:ascii="宋体" w:hAnsi="宋体" w:eastAsia="宋体" w:cs="宋体"/>
                <w:color w:val="auto"/>
                <w:spacing w:val="16"/>
                <w:sz w:val="23"/>
                <w:szCs w:val="23"/>
              </w:rPr>
              <w:t>4)赤脚或穿拖鞋；</w:t>
            </w:r>
          </w:p>
          <w:p>
            <w:pPr>
              <w:spacing w:before="27" w:line="236" w:lineRule="auto"/>
              <w:ind w:left="141" w:leftChars="0" w:right="217" w:rightChars="0" w:hanging="17" w:firstLineChars="0"/>
              <w:rPr>
                <w:color w:val="auto"/>
                <w:sz w:val="21"/>
              </w:rPr>
            </w:pPr>
            <w:r>
              <w:rPr>
                <w:rFonts w:ascii="宋体" w:hAnsi="宋体" w:eastAsia="宋体" w:cs="宋体"/>
                <w:color w:val="auto"/>
                <w:spacing w:val="16"/>
                <w:sz w:val="23"/>
                <w:szCs w:val="23"/>
              </w:rPr>
              <w:t>(</w:t>
            </w:r>
            <w:r>
              <w:rPr>
                <w:rFonts w:ascii="宋体" w:hAnsi="宋体" w:eastAsia="宋体" w:cs="宋体"/>
                <w:color w:val="auto"/>
                <w:spacing w:val="11"/>
                <w:sz w:val="23"/>
                <w:szCs w:val="23"/>
              </w:rPr>
              <w:t>5)爆破员、安全员、电工、装载机司机、运输车司机、电焊工、砼工、</w:t>
            </w:r>
            <w:r>
              <w:rPr>
                <w:rFonts w:ascii="宋体" w:hAnsi="宋体" w:eastAsia="宋体" w:cs="宋体"/>
                <w:color w:val="auto"/>
                <w:spacing w:val="12"/>
                <w:sz w:val="23"/>
                <w:szCs w:val="23"/>
              </w:rPr>
              <w:t>吊</w:t>
            </w:r>
            <w:r>
              <w:rPr>
                <w:rFonts w:ascii="宋体" w:hAnsi="宋体" w:eastAsia="宋体" w:cs="宋体"/>
                <w:color w:val="auto"/>
                <w:spacing w:val="7"/>
                <w:sz w:val="23"/>
                <w:szCs w:val="23"/>
              </w:rPr>
              <w:t>车、架桥机等特殊工种未持证上岗的。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3" w:hRule="atLeast"/>
          <w:jc w:val="center"/>
        </w:trPr>
        <w:tc>
          <w:tcPr>
            <w:tcW w:w="1164" w:type="dxa"/>
            <w:vMerge w:val="restart"/>
            <w:vAlign w:val="center"/>
          </w:tcPr>
          <w:p>
            <w:pPr>
              <w:spacing w:before="74" w:line="312" w:lineRule="exact"/>
              <w:ind w:left="191"/>
              <w:jc w:val="center"/>
              <w:rPr>
                <w:rFonts w:ascii="宋体" w:hAnsi="宋体" w:eastAsia="宋体" w:cs="宋体"/>
                <w:color w:val="auto"/>
                <w:spacing w:val="4"/>
                <w:position w:val="5"/>
                <w:sz w:val="23"/>
                <w:szCs w:val="23"/>
              </w:rPr>
            </w:pPr>
          </w:p>
          <w:p>
            <w:pPr>
              <w:spacing w:before="74" w:line="312" w:lineRule="exact"/>
              <w:ind w:left="191"/>
              <w:jc w:val="center"/>
              <w:rPr>
                <w:rFonts w:ascii="宋体" w:hAnsi="宋体" w:eastAsia="宋体" w:cs="宋体"/>
                <w:color w:val="auto"/>
                <w:spacing w:val="4"/>
                <w:position w:val="5"/>
                <w:sz w:val="23"/>
                <w:szCs w:val="23"/>
              </w:rPr>
            </w:pPr>
            <w:r>
              <w:rPr>
                <w:rFonts w:ascii="宋体" w:hAnsi="宋体" w:eastAsia="宋体" w:cs="宋体"/>
                <w:color w:val="auto"/>
                <w:spacing w:val="4"/>
                <w:position w:val="5"/>
                <w:sz w:val="23"/>
                <w:szCs w:val="23"/>
              </w:rPr>
              <w:t>文明</w:t>
            </w:r>
          </w:p>
          <w:p>
            <w:pPr>
              <w:spacing w:before="74" w:line="312" w:lineRule="exact"/>
              <w:ind w:left="191"/>
              <w:jc w:val="center"/>
              <w:rPr>
                <w:color w:val="auto"/>
                <w:sz w:val="2"/>
                <w:szCs w:val="2"/>
              </w:rPr>
            </w:pPr>
            <w:r>
              <w:rPr>
                <w:rFonts w:ascii="宋体" w:hAnsi="宋体" w:eastAsia="宋体" w:cs="宋体"/>
                <w:color w:val="auto"/>
                <w:spacing w:val="6"/>
                <w:sz w:val="23"/>
                <w:szCs w:val="23"/>
              </w:rPr>
              <w:t>施</w:t>
            </w:r>
            <w:r>
              <w:rPr>
                <w:rFonts w:ascii="宋体" w:hAnsi="宋体" w:eastAsia="宋体" w:cs="宋体"/>
                <w:color w:val="auto"/>
                <w:spacing w:val="5"/>
                <w:sz w:val="23"/>
                <w:szCs w:val="23"/>
              </w:rPr>
              <w:t>工</w:t>
            </w:r>
          </w:p>
        </w:tc>
        <w:tc>
          <w:tcPr>
            <w:tcW w:w="566" w:type="dxa"/>
            <w:vAlign w:val="center"/>
          </w:tcPr>
          <w:p>
            <w:pPr>
              <w:spacing w:before="231" w:line="192" w:lineRule="auto"/>
              <w:jc w:val="center"/>
              <w:rPr>
                <w:rFonts w:ascii="宋体" w:hAnsi="宋体" w:eastAsia="宋体" w:cs="宋体"/>
                <w:color w:val="auto"/>
                <w:spacing w:val="-10"/>
                <w:sz w:val="23"/>
                <w:szCs w:val="23"/>
              </w:rPr>
            </w:pPr>
            <w:r>
              <w:rPr>
                <w:rFonts w:ascii="宋体" w:hAnsi="宋体" w:eastAsia="宋体" w:cs="宋体"/>
                <w:color w:val="auto"/>
                <w:sz w:val="23"/>
                <w:szCs w:val="23"/>
              </w:rPr>
              <w:t>1</w:t>
            </w:r>
          </w:p>
        </w:tc>
        <w:tc>
          <w:tcPr>
            <w:tcW w:w="7733" w:type="dxa"/>
            <w:vAlign w:val="center"/>
          </w:tcPr>
          <w:p>
            <w:pPr>
              <w:spacing w:before="39" w:line="236" w:lineRule="auto"/>
              <w:ind w:left="113" w:leftChars="0" w:right="107" w:rightChars="0" w:hanging="1" w:firstLineChars="0"/>
              <w:jc w:val="both"/>
              <w:rPr>
                <w:rFonts w:ascii="宋体" w:hAnsi="宋体" w:eastAsia="宋体" w:cs="宋体"/>
                <w:color w:val="auto"/>
                <w:spacing w:val="16"/>
                <w:sz w:val="23"/>
                <w:szCs w:val="23"/>
              </w:rPr>
            </w:pPr>
            <w:r>
              <w:rPr>
                <w:rFonts w:ascii="宋体" w:hAnsi="宋体" w:eastAsia="宋体" w:cs="宋体"/>
                <w:color w:val="auto"/>
                <w:spacing w:val="14"/>
                <w:sz w:val="23"/>
                <w:szCs w:val="23"/>
              </w:rPr>
              <w:t>承</w:t>
            </w:r>
            <w:r>
              <w:rPr>
                <w:rFonts w:ascii="宋体" w:hAnsi="宋体" w:eastAsia="宋体" w:cs="宋体"/>
                <w:color w:val="auto"/>
                <w:spacing w:val="8"/>
                <w:sz w:val="23"/>
                <w:szCs w:val="23"/>
              </w:rPr>
              <w:t>包人驻地建设应包括防护、围墙、临时便道和安全、卫生、防火设施，违者</w:t>
            </w:r>
            <w:r>
              <w:rPr>
                <w:rFonts w:ascii="宋体" w:hAnsi="宋体" w:eastAsia="宋体" w:cs="宋体"/>
                <w:color w:val="auto"/>
                <w:spacing w:val="6"/>
                <w:sz w:val="23"/>
                <w:szCs w:val="23"/>
              </w:rPr>
              <w:t>每项罚款5000元。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5" w:hRule="atLeast"/>
          <w:jc w:val="center"/>
        </w:trPr>
        <w:tc>
          <w:tcPr>
            <w:tcW w:w="1164" w:type="dxa"/>
            <w:vMerge w:val="continue"/>
          </w:tcPr>
          <w:p>
            <w:pPr>
              <w:rPr>
                <w:color w:val="auto"/>
                <w:sz w:val="2"/>
                <w:szCs w:val="2"/>
              </w:rPr>
            </w:pPr>
          </w:p>
        </w:tc>
        <w:tc>
          <w:tcPr>
            <w:tcW w:w="566" w:type="dxa"/>
            <w:vAlign w:val="center"/>
          </w:tcPr>
          <w:p>
            <w:pPr>
              <w:spacing w:before="231" w:line="192" w:lineRule="auto"/>
              <w:jc w:val="center"/>
              <w:rPr>
                <w:rFonts w:ascii="宋体" w:hAnsi="宋体" w:eastAsia="宋体" w:cs="宋体"/>
                <w:color w:val="auto"/>
                <w:spacing w:val="-10"/>
                <w:sz w:val="23"/>
                <w:szCs w:val="23"/>
              </w:rPr>
            </w:pPr>
            <w:r>
              <w:rPr>
                <w:rFonts w:ascii="宋体" w:hAnsi="宋体" w:eastAsia="宋体" w:cs="宋体"/>
                <w:color w:val="auto"/>
                <w:sz w:val="23"/>
                <w:szCs w:val="23"/>
              </w:rPr>
              <w:t>2</w:t>
            </w:r>
          </w:p>
        </w:tc>
        <w:tc>
          <w:tcPr>
            <w:tcW w:w="7733" w:type="dxa"/>
            <w:vAlign w:val="center"/>
          </w:tcPr>
          <w:p>
            <w:pPr>
              <w:spacing w:before="38" w:line="236" w:lineRule="auto"/>
              <w:ind w:left="113" w:leftChars="0" w:right="107" w:rightChars="0" w:hanging="1" w:firstLineChars="0"/>
              <w:jc w:val="both"/>
              <w:rPr>
                <w:rFonts w:ascii="宋体" w:hAnsi="宋体" w:eastAsia="宋体" w:cs="宋体"/>
                <w:color w:val="auto"/>
                <w:spacing w:val="16"/>
                <w:sz w:val="23"/>
                <w:szCs w:val="23"/>
              </w:rPr>
            </w:pPr>
            <w:r>
              <w:rPr>
                <w:rFonts w:ascii="宋体" w:hAnsi="宋体" w:eastAsia="宋体" w:cs="宋体"/>
                <w:color w:val="auto"/>
                <w:spacing w:val="14"/>
                <w:sz w:val="23"/>
                <w:szCs w:val="23"/>
              </w:rPr>
              <w:t>承</w:t>
            </w:r>
            <w:r>
              <w:rPr>
                <w:rFonts w:ascii="宋体" w:hAnsi="宋体" w:eastAsia="宋体" w:cs="宋体"/>
                <w:color w:val="auto"/>
                <w:spacing w:val="8"/>
                <w:sz w:val="23"/>
                <w:szCs w:val="23"/>
              </w:rPr>
              <w:t>包人项目经理部应按发包人统一要求设置组织机构、质量管理、安全生产</w:t>
            </w:r>
            <w:r>
              <w:rPr>
                <w:rFonts w:ascii="宋体" w:hAnsi="宋体" w:eastAsia="宋体" w:cs="宋体"/>
                <w:color w:val="auto"/>
                <w:spacing w:val="14"/>
                <w:sz w:val="23"/>
                <w:szCs w:val="23"/>
              </w:rPr>
              <w:t>等</w:t>
            </w:r>
            <w:r>
              <w:rPr>
                <w:rFonts w:ascii="宋体" w:hAnsi="宋体" w:eastAsia="宋体" w:cs="宋体"/>
                <w:color w:val="auto"/>
                <w:spacing w:val="9"/>
                <w:sz w:val="23"/>
                <w:szCs w:val="23"/>
              </w:rPr>
              <w:t>宣</w:t>
            </w:r>
            <w:r>
              <w:rPr>
                <w:rFonts w:ascii="宋体" w:hAnsi="宋体" w:eastAsia="宋体" w:cs="宋体"/>
                <w:color w:val="auto"/>
                <w:spacing w:val="7"/>
                <w:sz w:val="23"/>
                <w:szCs w:val="23"/>
              </w:rPr>
              <w:t>传牌，违者每项罚款5000元。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0" w:hRule="atLeast"/>
          <w:jc w:val="center"/>
        </w:trPr>
        <w:tc>
          <w:tcPr>
            <w:tcW w:w="1164" w:type="dxa"/>
            <w:vMerge w:val="continue"/>
          </w:tcPr>
          <w:p>
            <w:pPr>
              <w:rPr>
                <w:color w:val="auto"/>
                <w:sz w:val="2"/>
                <w:szCs w:val="2"/>
              </w:rPr>
            </w:pPr>
          </w:p>
        </w:tc>
        <w:tc>
          <w:tcPr>
            <w:tcW w:w="566" w:type="dxa"/>
            <w:vAlign w:val="center"/>
          </w:tcPr>
          <w:p>
            <w:pPr>
              <w:spacing w:before="233" w:line="190" w:lineRule="auto"/>
              <w:jc w:val="center"/>
              <w:rPr>
                <w:rFonts w:ascii="宋体" w:hAnsi="宋体" w:eastAsia="宋体" w:cs="宋体"/>
                <w:color w:val="auto"/>
                <w:spacing w:val="-10"/>
                <w:sz w:val="23"/>
                <w:szCs w:val="23"/>
              </w:rPr>
            </w:pPr>
            <w:r>
              <w:rPr>
                <w:rFonts w:ascii="宋体" w:hAnsi="宋体" w:eastAsia="宋体" w:cs="宋体"/>
                <w:color w:val="auto"/>
                <w:sz w:val="23"/>
                <w:szCs w:val="23"/>
              </w:rPr>
              <w:t>3</w:t>
            </w:r>
          </w:p>
        </w:tc>
        <w:tc>
          <w:tcPr>
            <w:tcW w:w="7733" w:type="dxa"/>
            <w:vAlign w:val="center"/>
          </w:tcPr>
          <w:p>
            <w:pPr>
              <w:spacing w:before="39" w:line="236" w:lineRule="auto"/>
              <w:ind w:left="116" w:leftChars="0" w:right="107" w:rightChars="0" w:hanging="2" w:firstLineChars="0"/>
              <w:jc w:val="both"/>
              <w:rPr>
                <w:rFonts w:ascii="宋体" w:hAnsi="宋体" w:eastAsia="宋体" w:cs="宋体"/>
                <w:color w:val="auto"/>
                <w:spacing w:val="16"/>
                <w:sz w:val="23"/>
                <w:szCs w:val="23"/>
              </w:rPr>
            </w:pPr>
            <w:r>
              <w:rPr>
                <w:rFonts w:ascii="宋体" w:hAnsi="宋体" w:eastAsia="宋体" w:cs="宋体"/>
                <w:color w:val="auto"/>
                <w:spacing w:val="22"/>
                <w:sz w:val="23"/>
                <w:szCs w:val="23"/>
              </w:rPr>
              <w:t>单</w:t>
            </w:r>
            <w:r>
              <w:rPr>
                <w:rFonts w:ascii="宋体" w:hAnsi="宋体" w:eastAsia="宋体" w:cs="宋体"/>
                <w:color w:val="auto"/>
                <w:spacing w:val="20"/>
                <w:sz w:val="23"/>
                <w:szCs w:val="23"/>
              </w:rPr>
              <w:t>项</w:t>
            </w:r>
            <w:r>
              <w:rPr>
                <w:rFonts w:ascii="宋体" w:hAnsi="宋体" w:eastAsia="宋体" w:cs="宋体"/>
                <w:color w:val="auto"/>
                <w:spacing w:val="11"/>
                <w:sz w:val="23"/>
                <w:szCs w:val="23"/>
              </w:rPr>
              <w:t>工程的施工现场未按要求设立标示牌的，施工点无安全员的,每处罚款</w:t>
            </w:r>
            <w:r>
              <w:rPr>
                <w:rFonts w:ascii="宋体" w:hAnsi="宋体" w:eastAsia="宋体" w:cs="宋体"/>
                <w:color w:val="auto"/>
                <w:spacing w:val="-10"/>
                <w:sz w:val="23"/>
                <w:szCs w:val="23"/>
              </w:rPr>
              <w:t>5</w:t>
            </w:r>
            <w:r>
              <w:rPr>
                <w:rFonts w:ascii="宋体" w:hAnsi="宋体" w:eastAsia="宋体" w:cs="宋体"/>
                <w:color w:val="auto"/>
                <w:spacing w:val="-7"/>
                <w:sz w:val="23"/>
                <w:szCs w:val="23"/>
              </w:rPr>
              <w:t>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68" w:hRule="atLeast"/>
          <w:jc w:val="center"/>
        </w:trPr>
        <w:tc>
          <w:tcPr>
            <w:tcW w:w="1164" w:type="dxa"/>
            <w:vMerge w:val="continue"/>
          </w:tcPr>
          <w:p>
            <w:pPr>
              <w:rPr>
                <w:color w:val="auto"/>
                <w:sz w:val="2"/>
                <w:szCs w:val="2"/>
              </w:rPr>
            </w:pPr>
          </w:p>
        </w:tc>
        <w:tc>
          <w:tcPr>
            <w:tcW w:w="566" w:type="dxa"/>
            <w:vAlign w:val="center"/>
          </w:tcPr>
          <w:p>
            <w:pPr>
              <w:spacing w:before="145" w:line="192" w:lineRule="auto"/>
              <w:jc w:val="center"/>
              <w:rPr>
                <w:rFonts w:ascii="宋体" w:hAnsi="宋体" w:eastAsia="宋体" w:cs="宋体"/>
                <w:color w:val="auto"/>
                <w:spacing w:val="-10"/>
                <w:sz w:val="23"/>
                <w:szCs w:val="23"/>
              </w:rPr>
            </w:pPr>
            <w:r>
              <w:rPr>
                <w:rFonts w:ascii="宋体" w:hAnsi="宋体" w:eastAsia="宋体" w:cs="宋体"/>
                <w:color w:val="auto"/>
                <w:sz w:val="23"/>
                <w:szCs w:val="23"/>
              </w:rPr>
              <w:t>4</w:t>
            </w:r>
          </w:p>
        </w:tc>
        <w:tc>
          <w:tcPr>
            <w:tcW w:w="7733" w:type="dxa"/>
            <w:vAlign w:val="center"/>
          </w:tcPr>
          <w:p>
            <w:pPr>
              <w:spacing w:before="108" w:line="224" w:lineRule="auto"/>
              <w:ind w:left="112" w:leftChars="0"/>
              <w:jc w:val="both"/>
              <w:rPr>
                <w:rFonts w:ascii="宋体" w:hAnsi="宋体" w:eastAsia="宋体" w:cs="宋体"/>
                <w:color w:val="auto"/>
                <w:spacing w:val="16"/>
                <w:sz w:val="23"/>
                <w:szCs w:val="23"/>
              </w:rPr>
            </w:pPr>
            <w:r>
              <w:rPr>
                <w:rFonts w:ascii="宋体" w:hAnsi="宋体" w:eastAsia="宋体" w:cs="宋体"/>
                <w:color w:val="auto"/>
                <w:spacing w:val="8"/>
                <w:sz w:val="23"/>
                <w:szCs w:val="23"/>
              </w:rPr>
              <w:t>施工现场管理人员不佩带工作证,每人/次罚款200元：</w:t>
            </w:r>
            <w:r>
              <w:rPr>
                <w:rFonts w:ascii="宋体" w:hAnsi="宋体" w:eastAsia="宋体" w:cs="宋体"/>
                <w:color w:val="auto"/>
                <w:spacing w:val="5"/>
                <w:sz w:val="23"/>
                <w:szCs w:val="23"/>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5" w:hRule="atLeast"/>
          <w:jc w:val="center"/>
        </w:trPr>
        <w:tc>
          <w:tcPr>
            <w:tcW w:w="1164" w:type="dxa"/>
            <w:vMerge w:val="continue"/>
          </w:tcPr>
          <w:p>
            <w:pPr>
              <w:rPr>
                <w:color w:val="auto"/>
                <w:sz w:val="2"/>
                <w:szCs w:val="2"/>
              </w:rPr>
            </w:pPr>
          </w:p>
        </w:tc>
        <w:tc>
          <w:tcPr>
            <w:tcW w:w="566" w:type="dxa"/>
            <w:vAlign w:val="center"/>
          </w:tcPr>
          <w:p>
            <w:pPr>
              <w:spacing w:before="78" w:line="189" w:lineRule="auto"/>
              <w:jc w:val="center"/>
              <w:rPr>
                <w:rFonts w:ascii="宋体" w:hAnsi="宋体" w:eastAsia="宋体" w:cs="宋体"/>
                <w:color w:val="auto"/>
                <w:spacing w:val="-10"/>
                <w:sz w:val="23"/>
                <w:szCs w:val="23"/>
              </w:rPr>
            </w:pPr>
            <w:r>
              <w:rPr>
                <w:rFonts w:ascii="宋体" w:hAnsi="宋体" w:eastAsia="宋体" w:cs="宋体"/>
                <w:color w:val="auto"/>
                <w:sz w:val="23"/>
                <w:szCs w:val="23"/>
              </w:rPr>
              <w:t>5</w:t>
            </w:r>
          </w:p>
        </w:tc>
        <w:tc>
          <w:tcPr>
            <w:tcW w:w="7733" w:type="dxa"/>
            <w:vAlign w:val="center"/>
          </w:tcPr>
          <w:p>
            <w:pPr>
              <w:spacing w:before="39" w:line="222" w:lineRule="auto"/>
              <w:ind w:left="114" w:leftChars="0"/>
              <w:jc w:val="both"/>
              <w:rPr>
                <w:rFonts w:ascii="宋体" w:hAnsi="宋体" w:eastAsia="宋体" w:cs="宋体"/>
                <w:color w:val="auto"/>
                <w:spacing w:val="16"/>
                <w:sz w:val="23"/>
                <w:szCs w:val="23"/>
              </w:rPr>
            </w:pPr>
            <w:r>
              <w:rPr>
                <w:rFonts w:ascii="宋体" w:hAnsi="宋体" w:eastAsia="宋体" w:cs="宋体"/>
                <w:color w:val="auto"/>
                <w:spacing w:val="16"/>
                <w:sz w:val="23"/>
                <w:szCs w:val="23"/>
              </w:rPr>
              <w:t>路</w:t>
            </w:r>
            <w:r>
              <w:rPr>
                <w:rFonts w:ascii="宋体" w:hAnsi="宋体" w:eastAsia="宋体" w:cs="宋体"/>
                <w:color w:val="auto"/>
                <w:spacing w:val="13"/>
                <w:sz w:val="23"/>
                <w:szCs w:val="23"/>
              </w:rPr>
              <w:t>基</w:t>
            </w:r>
            <w:r>
              <w:rPr>
                <w:rFonts w:ascii="宋体" w:hAnsi="宋体" w:eastAsia="宋体" w:cs="宋体"/>
                <w:color w:val="auto"/>
                <w:spacing w:val="8"/>
                <w:sz w:val="23"/>
                <w:szCs w:val="23"/>
              </w:rPr>
              <w:t>施工作业面、便道不及时洒水降尘的，每次罚款3,000元。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4" w:hRule="atLeast"/>
          <w:jc w:val="center"/>
        </w:trPr>
        <w:tc>
          <w:tcPr>
            <w:tcW w:w="1164" w:type="dxa"/>
            <w:vMerge w:val="continue"/>
          </w:tcPr>
          <w:p>
            <w:pPr>
              <w:rPr>
                <w:color w:val="auto"/>
                <w:sz w:val="2"/>
                <w:szCs w:val="2"/>
              </w:rPr>
            </w:pPr>
          </w:p>
        </w:tc>
        <w:tc>
          <w:tcPr>
            <w:tcW w:w="566" w:type="dxa"/>
            <w:vAlign w:val="center"/>
          </w:tcPr>
          <w:p>
            <w:pPr>
              <w:spacing w:before="233" w:line="190" w:lineRule="auto"/>
              <w:jc w:val="center"/>
              <w:rPr>
                <w:rFonts w:ascii="宋体" w:hAnsi="宋体" w:eastAsia="宋体" w:cs="宋体"/>
                <w:color w:val="auto"/>
                <w:spacing w:val="-10"/>
                <w:sz w:val="23"/>
                <w:szCs w:val="23"/>
              </w:rPr>
            </w:pPr>
            <w:r>
              <w:rPr>
                <w:rFonts w:ascii="宋体" w:hAnsi="宋体" w:eastAsia="宋体" w:cs="宋体"/>
                <w:color w:val="auto"/>
                <w:sz w:val="23"/>
                <w:szCs w:val="23"/>
              </w:rPr>
              <w:t>6</w:t>
            </w:r>
          </w:p>
        </w:tc>
        <w:tc>
          <w:tcPr>
            <w:tcW w:w="7733" w:type="dxa"/>
            <w:vAlign w:val="center"/>
          </w:tcPr>
          <w:p>
            <w:pPr>
              <w:spacing w:before="38" w:line="236" w:lineRule="auto"/>
              <w:ind w:left="113" w:leftChars="0" w:right="107" w:rightChars="0" w:hanging="1" w:firstLineChars="0"/>
              <w:jc w:val="both"/>
              <w:rPr>
                <w:rFonts w:ascii="宋体" w:hAnsi="宋体" w:eastAsia="宋体" w:cs="宋体"/>
                <w:color w:val="auto"/>
                <w:spacing w:val="16"/>
                <w:sz w:val="23"/>
                <w:szCs w:val="23"/>
              </w:rPr>
            </w:pPr>
            <w:r>
              <w:rPr>
                <w:rFonts w:ascii="宋体" w:hAnsi="宋体" w:eastAsia="宋体" w:cs="宋体"/>
                <w:color w:val="auto"/>
                <w:spacing w:val="14"/>
                <w:sz w:val="23"/>
                <w:szCs w:val="23"/>
              </w:rPr>
              <w:t>桥</w:t>
            </w:r>
            <w:r>
              <w:rPr>
                <w:rFonts w:ascii="宋体" w:hAnsi="宋体" w:eastAsia="宋体" w:cs="宋体"/>
                <w:color w:val="auto"/>
                <w:spacing w:val="8"/>
                <w:sz w:val="23"/>
                <w:szCs w:val="23"/>
              </w:rPr>
              <w:t>梁施工过程中的泥浆及废弃物等，须在该项工程完工时即时清除干净，违者</w:t>
            </w:r>
            <w:r>
              <w:rPr>
                <w:rFonts w:ascii="宋体" w:hAnsi="宋体" w:eastAsia="宋体" w:cs="宋体"/>
                <w:color w:val="auto"/>
                <w:spacing w:val="5"/>
                <w:sz w:val="23"/>
                <w:szCs w:val="23"/>
              </w:rPr>
              <w:t>罚款3,0000元。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4" w:hRule="atLeast"/>
          <w:jc w:val="center"/>
        </w:trPr>
        <w:tc>
          <w:tcPr>
            <w:tcW w:w="1164" w:type="dxa"/>
            <w:vMerge w:val="continue"/>
          </w:tcPr>
          <w:p>
            <w:pPr>
              <w:rPr>
                <w:color w:val="auto"/>
                <w:sz w:val="2"/>
                <w:szCs w:val="2"/>
              </w:rPr>
            </w:pPr>
          </w:p>
        </w:tc>
        <w:tc>
          <w:tcPr>
            <w:tcW w:w="566" w:type="dxa"/>
            <w:vAlign w:val="center"/>
          </w:tcPr>
          <w:p>
            <w:pPr>
              <w:spacing w:before="78" w:line="189" w:lineRule="auto"/>
              <w:jc w:val="center"/>
              <w:rPr>
                <w:rFonts w:ascii="宋体" w:hAnsi="宋体" w:eastAsia="宋体" w:cs="宋体"/>
                <w:color w:val="auto"/>
                <w:spacing w:val="-10"/>
                <w:sz w:val="23"/>
                <w:szCs w:val="23"/>
              </w:rPr>
            </w:pPr>
            <w:r>
              <w:rPr>
                <w:rFonts w:ascii="宋体" w:hAnsi="宋体" w:eastAsia="宋体" w:cs="宋体"/>
                <w:color w:val="auto"/>
                <w:sz w:val="23"/>
                <w:szCs w:val="23"/>
              </w:rPr>
              <w:t>7</w:t>
            </w:r>
          </w:p>
        </w:tc>
        <w:tc>
          <w:tcPr>
            <w:tcW w:w="7733" w:type="dxa"/>
            <w:vAlign w:val="center"/>
          </w:tcPr>
          <w:p>
            <w:pPr>
              <w:spacing w:before="39" w:line="222" w:lineRule="auto"/>
              <w:ind w:left="112" w:leftChars="0"/>
              <w:jc w:val="both"/>
              <w:rPr>
                <w:rFonts w:ascii="宋体" w:hAnsi="宋体" w:eastAsia="宋体" w:cs="宋体"/>
                <w:color w:val="auto"/>
                <w:spacing w:val="16"/>
                <w:sz w:val="23"/>
                <w:szCs w:val="23"/>
              </w:rPr>
            </w:pPr>
            <w:r>
              <w:rPr>
                <w:rFonts w:ascii="宋体" w:hAnsi="宋体" w:eastAsia="宋体" w:cs="宋体"/>
                <w:color w:val="auto"/>
                <w:spacing w:val="4"/>
                <w:sz w:val="23"/>
                <w:szCs w:val="23"/>
              </w:rPr>
              <w:t>施工废料乱</w:t>
            </w:r>
            <w:r>
              <w:rPr>
                <w:rFonts w:ascii="宋体" w:hAnsi="宋体" w:eastAsia="宋体" w:cs="宋体"/>
                <w:color w:val="auto"/>
                <w:spacing w:val="2"/>
                <w:sz w:val="23"/>
                <w:szCs w:val="23"/>
              </w:rPr>
              <w:t>堆乱放的，每次罚款3,000元。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5" w:hRule="atLeast"/>
          <w:jc w:val="center"/>
        </w:trPr>
        <w:tc>
          <w:tcPr>
            <w:tcW w:w="1164" w:type="dxa"/>
            <w:vMerge w:val="continue"/>
          </w:tcPr>
          <w:p>
            <w:pPr>
              <w:rPr>
                <w:color w:val="auto"/>
                <w:sz w:val="2"/>
                <w:szCs w:val="2"/>
              </w:rPr>
            </w:pPr>
          </w:p>
        </w:tc>
        <w:tc>
          <w:tcPr>
            <w:tcW w:w="566" w:type="dxa"/>
            <w:vAlign w:val="center"/>
          </w:tcPr>
          <w:p>
            <w:pPr>
              <w:spacing w:before="233" w:line="190" w:lineRule="auto"/>
              <w:jc w:val="center"/>
              <w:rPr>
                <w:rFonts w:ascii="宋体" w:hAnsi="宋体" w:eastAsia="宋体" w:cs="宋体"/>
                <w:color w:val="auto"/>
                <w:spacing w:val="-10"/>
                <w:sz w:val="23"/>
                <w:szCs w:val="23"/>
              </w:rPr>
            </w:pPr>
            <w:r>
              <w:rPr>
                <w:rFonts w:ascii="宋体" w:hAnsi="宋体" w:eastAsia="宋体" w:cs="宋体"/>
                <w:color w:val="auto"/>
                <w:sz w:val="23"/>
                <w:szCs w:val="23"/>
              </w:rPr>
              <w:t>8</w:t>
            </w:r>
          </w:p>
        </w:tc>
        <w:tc>
          <w:tcPr>
            <w:tcW w:w="7733" w:type="dxa"/>
            <w:vAlign w:val="center"/>
          </w:tcPr>
          <w:p>
            <w:pPr>
              <w:spacing w:before="38" w:line="236" w:lineRule="auto"/>
              <w:ind w:left="115" w:leftChars="0" w:right="107" w:rightChars="0" w:hanging="3" w:firstLineChars="0"/>
              <w:jc w:val="both"/>
              <w:rPr>
                <w:rFonts w:ascii="宋体" w:hAnsi="宋体" w:eastAsia="宋体" w:cs="宋体"/>
                <w:color w:val="auto"/>
                <w:spacing w:val="16"/>
                <w:sz w:val="23"/>
                <w:szCs w:val="23"/>
              </w:rPr>
            </w:pPr>
            <w:r>
              <w:rPr>
                <w:rFonts w:ascii="宋体" w:hAnsi="宋体" w:eastAsia="宋体" w:cs="宋体"/>
                <w:color w:val="auto"/>
                <w:spacing w:val="15"/>
                <w:sz w:val="23"/>
                <w:szCs w:val="23"/>
              </w:rPr>
              <w:t>施</w:t>
            </w:r>
            <w:r>
              <w:rPr>
                <w:rFonts w:ascii="宋体" w:hAnsi="宋体" w:eastAsia="宋体" w:cs="宋体"/>
                <w:color w:val="auto"/>
                <w:spacing w:val="8"/>
                <w:sz w:val="23"/>
                <w:szCs w:val="23"/>
              </w:rPr>
              <w:t>工废水、生活污水不得直接排入农田、耕地、沟渠和水库，严禁排入饮用</w:t>
            </w:r>
            <w:r>
              <w:rPr>
                <w:rFonts w:ascii="宋体" w:hAnsi="宋体" w:eastAsia="宋体" w:cs="宋体"/>
                <w:color w:val="auto"/>
                <w:spacing w:val="7"/>
                <w:sz w:val="23"/>
                <w:szCs w:val="23"/>
              </w:rPr>
              <w:t>水源，违者每次罚款3,0000元</w:t>
            </w:r>
            <w:r>
              <w:rPr>
                <w:rFonts w:ascii="宋体" w:hAnsi="宋体" w:eastAsia="宋体" w:cs="宋体"/>
                <w:color w:val="auto"/>
                <w:spacing w:val="5"/>
                <w:sz w:val="23"/>
                <w:szCs w:val="23"/>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5" w:hRule="atLeast"/>
          <w:jc w:val="center"/>
        </w:trPr>
        <w:tc>
          <w:tcPr>
            <w:tcW w:w="1164" w:type="dxa"/>
            <w:vMerge w:val="continue"/>
          </w:tcPr>
          <w:p>
            <w:pPr>
              <w:rPr>
                <w:color w:val="auto"/>
                <w:sz w:val="2"/>
                <w:szCs w:val="2"/>
              </w:rPr>
            </w:pPr>
          </w:p>
        </w:tc>
        <w:tc>
          <w:tcPr>
            <w:tcW w:w="566" w:type="dxa"/>
            <w:vAlign w:val="center"/>
          </w:tcPr>
          <w:p>
            <w:pPr>
              <w:spacing w:before="232" w:line="190" w:lineRule="auto"/>
              <w:jc w:val="center"/>
              <w:rPr>
                <w:rFonts w:ascii="宋体" w:hAnsi="宋体" w:eastAsia="宋体" w:cs="宋体"/>
                <w:color w:val="auto"/>
                <w:spacing w:val="-10"/>
                <w:sz w:val="23"/>
                <w:szCs w:val="23"/>
              </w:rPr>
            </w:pPr>
            <w:r>
              <w:rPr>
                <w:rFonts w:ascii="宋体" w:hAnsi="宋体" w:eastAsia="宋体" w:cs="宋体"/>
                <w:color w:val="auto"/>
                <w:sz w:val="23"/>
                <w:szCs w:val="23"/>
              </w:rPr>
              <w:t>9</w:t>
            </w:r>
          </w:p>
        </w:tc>
        <w:tc>
          <w:tcPr>
            <w:tcW w:w="7733" w:type="dxa"/>
            <w:vAlign w:val="center"/>
          </w:tcPr>
          <w:p>
            <w:pPr>
              <w:spacing w:before="42" w:line="235" w:lineRule="auto"/>
              <w:ind w:left="112" w:leftChars="0" w:right="107" w:rightChars="0"/>
              <w:jc w:val="center"/>
              <w:rPr>
                <w:rFonts w:ascii="宋体" w:hAnsi="宋体" w:eastAsia="宋体" w:cs="宋体"/>
                <w:color w:val="auto"/>
                <w:spacing w:val="16"/>
                <w:sz w:val="23"/>
                <w:szCs w:val="23"/>
              </w:rPr>
            </w:pPr>
            <w:r>
              <w:rPr>
                <w:rFonts w:ascii="宋体" w:hAnsi="宋体" w:eastAsia="宋体" w:cs="宋体"/>
                <w:color w:val="auto"/>
                <w:spacing w:val="15"/>
                <w:sz w:val="23"/>
                <w:szCs w:val="23"/>
              </w:rPr>
              <w:t>施</w:t>
            </w:r>
            <w:r>
              <w:rPr>
                <w:rFonts w:ascii="宋体" w:hAnsi="宋体" w:eastAsia="宋体" w:cs="宋体"/>
                <w:color w:val="auto"/>
                <w:spacing w:val="8"/>
                <w:sz w:val="23"/>
                <w:szCs w:val="23"/>
              </w:rPr>
              <w:t>工现场未采取有效措施，造成水源污染、空气污染等不良后果，引起群众</w:t>
            </w:r>
            <w:r>
              <w:rPr>
                <w:rFonts w:ascii="宋体" w:hAnsi="宋体" w:eastAsia="宋体" w:cs="宋体"/>
                <w:color w:val="auto"/>
                <w:spacing w:val="16"/>
                <w:sz w:val="23"/>
                <w:szCs w:val="23"/>
              </w:rPr>
              <w:t>抗</w:t>
            </w:r>
            <w:r>
              <w:rPr>
                <w:rFonts w:ascii="宋体" w:hAnsi="宋体" w:eastAsia="宋体" w:cs="宋体"/>
                <w:color w:val="auto"/>
                <w:spacing w:val="13"/>
                <w:sz w:val="23"/>
                <w:szCs w:val="23"/>
              </w:rPr>
              <w:t>议</w:t>
            </w:r>
            <w:r>
              <w:rPr>
                <w:rFonts w:ascii="宋体" w:hAnsi="宋体" w:eastAsia="宋体" w:cs="宋体"/>
                <w:color w:val="auto"/>
                <w:spacing w:val="8"/>
                <w:sz w:val="23"/>
                <w:szCs w:val="23"/>
              </w:rPr>
              <w:t>投诉或有关行政主管部门处罚的，每次罚款10，000元。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87" w:hRule="atLeast"/>
          <w:jc w:val="center"/>
        </w:trPr>
        <w:tc>
          <w:tcPr>
            <w:tcW w:w="1164" w:type="dxa"/>
            <w:vMerge w:val="continue"/>
          </w:tcPr>
          <w:p>
            <w:pPr>
              <w:rPr>
                <w:color w:val="auto"/>
                <w:sz w:val="2"/>
                <w:szCs w:val="2"/>
              </w:rPr>
            </w:pPr>
          </w:p>
        </w:tc>
        <w:tc>
          <w:tcPr>
            <w:tcW w:w="566" w:type="dxa"/>
            <w:vAlign w:val="center"/>
          </w:tcPr>
          <w:p>
            <w:pPr>
              <w:spacing w:before="225" w:line="191" w:lineRule="auto"/>
              <w:jc w:val="center"/>
              <w:rPr>
                <w:rFonts w:ascii="宋体" w:hAnsi="宋体" w:eastAsia="宋体" w:cs="宋体"/>
                <w:color w:val="auto"/>
                <w:spacing w:val="-10"/>
                <w:sz w:val="23"/>
                <w:szCs w:val="23"/>
              </w:rPr>
            </w:pPr>
            <w:r>
              <w:rPr>
                <w:rFonts w:ascii="宋体" w:hAnsi="宋体" w:eastAsia="宋体" w:cs="宋体"/>
                <w:color w:val="auto"/>
                <w:spacing w:val="-10"/>
                <w:sz w:val="23"/>
                <w:szCs w:val="23"/>
              </w:rPr>
              <w:t>1</w:t>
            </w:r>
            <w:r>
              <w:rPr>
                <w:rFonts w:ascii="宋体" w:hAnsi="宋体" w:eastAsia="宋体" w:cs="宋体"/>
                <w:color w:val="auto"/>
                <w:spacing w:val="-8"/>
                <w:sz w:val="23"/>
                <w:szCs w:val="23"/>
              </w:rPr>
              <w:t>0</w:t>
            </w:r>
          </w:p>
        </w:tc>
        <w:tc>
          <w:tcPr>
            <w:tcW w:w="7733" w:type="dxa"/>
            <w:vAlign w:val="center"/>
          </w:tcPr>
          <w:p>
            <w:pPr>
              <w:spacing w:before="188" w:line="227" w:lineRule="auto"/>
              <w:ind w:left="116" w:leftChars="0"/>
              <w:jc w:val="both"/>
              <w:rPr>
                <w:rFonts w:ascii="宋体" w:hAnsi="宋体" w:eastAsia="宋体" w:cs="宋体"/>
                <w:color w:val="auto"/>
                <w:spacing w:val="16"/>
                <w:sz w:val="23"/>
                <w:szCs w:val="23"/>
              </w:rPr>
            </w:pPr>
            <w:r>
              <w:rPr>
                <w:rFonts w:ascii="宋体" w:hAnsi="宋体" w:eastAsia="宋体" w:cs="宋体"/>
                <w:color w:val="auto"/>
                <w:spacing w:val="16"/>
                <w:sz w:val="23"/>
                <w:szCs w:val="23"/>
              </w:rPr>
              <w:t>弃土、</w:t>
            </w:r>
            <w:r>
              <w:rPr>
                <w:rFonts w:ascii="宋体" w:hAnsi="宋体" w:eastAsia="宋体" w:cs="宋体"/>
                <w:color w:val="auto"/>
                <w:spacing w:val="10"/>
                <w:sz w:val="23"/>
                <w:szCs w:val="23"/>
              </w:rPr>
              <w:t>弃</w:t>
            </w:r>
            <w:r>
              <w:rPr>
                <w:rFonts w:ascii="宋体" w:hAnsi="宋体" w:eastAsia="宋体" w:cs="宋体"/>
                <w:color w:val="auto"/>
                <w:spacing w:val="8"/>
                <w:sz w:val="23"/>
                <w:szCs w:val="23"/>
              </w:rPr>
              <w:t>渣占农田果园、堵塞水道以及造成水土流失的，每次罚款5000元。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5" w:hRule="atLeast"/>
          <w:jc w:val="center"/>
        </w:trPr>
        <w:tc>
          <w:tcPr>
            <w:tcW w:w="1164" w:type="dxa"/>
            <w:vMerge w:val="continue"/>
          </w:tcPr>
          <w:p>
            <w:pPr>
              <w:rPr>
                <w:color w:val="auto"/>
                <w:sz w:val="2"/>
                <w:szCs w:val="2"/>
              </w:rPr>
            </w:pPr>
          </w:p>
        </w:tc>
        <w:tc>
          <w:tcPr>
            <w:tcW w:w="566" w:type="dxa"/>
            <w:vAlign w:val="top"/>
          </w:tcPr>
          <w:p>
            <w:pPr>
              <w:spacing w:before="233" w:line="192" w:lineRule="auto"/>
              <w:ind w:firstLine="210" w:firstLineChars="100"/>
              <w:rPr>
                <w:rFonts w:hint="default" w:ascii="宋体" w:hAnsi="宋体" w:eastAsia="宋体" w:cs="宋体"/>
                <w:color w:val="auto"/>
                <w:spacing w:val="-10"/>
                <w:sz w:val="23"/>
                <w:szCs w:val="23"/>
                <w:lang w:val="en-US" w:eastAsia="zh-CN"/>
              </w:rPr>
            </w:pPr>
            <w:r>
              <w:rPr>
                <w:rFonts w:ascii="宋体" w:hAnsi="宋体" w:eastAsia="宋体" w:cs="宋体"/>
                <w:color w:val="auto"/>
                <w:spacing w:val="-10"/>
                <w:sz w:val="23"/>
                <w:szCs w:val="23"/>
              </w:rPr>
              <w:t>1</w:t>
            </w:r>
            <w:r>
              <w:rPr>
                <w:rFonts w:ascii="宋体" w:hAnsi="宋体" w:eastAsia="宋体" w:cs="宋体"/>
                <w:color w:val="auto"/>
                <w:spacing w:val="-8"/>
                <w:sz w:val="23"/>
                <w:szCs w:val="23"/>
              </w:rPr>
              <w:t>1</w:t>
            </w:r>
          </w:p>
        </w:tc>
        <w:tc>
          <w:tcPr>
            <w:tcW w:w="7733" w:type="dxa"/>
            <w:vAlign w:val="top"/>
          </w:tcPr>
          <w:p>
            <w:pPr>
              <w:spacing w:before="38" w:line="236" w:lineRule="auto"/>
              <w:ind w:left="116" w:leftChars="0" w:right="107" w:rightChars="0" w:hanging="1" w:firstLineChars="0"/>
              <w:rPr>
                <w:rFonts w:ascii="宋体" w:hAnsi="宋体" w:eastAsia="宋体" w:cs="宋体"/>
                <w:color w:val="auto"/>
                <w:spacing w:val="16"/>
                <w:sz w:val="23"/>
                <w:szCs w:val="23"/>
              </w:rPr>
            </w:pPr>
            <w:r>
              <w:rPr>
                <w:rFonts w:ascii="宋体" w:hAnsi="宋体" w:eastAsia="宋体" w:cs="宋体"/>
                <w:color w:val="auto"/>
                <w:spacing w:val="11"/>
                <w:sz w:val="23"/>
                <w:szCs w:val="23"/>
              </w:rPr>
              <w:t>水</w:t>
            </w:r>
            <w:r>
              <w:rPr>
                <w:rFonts w:ascii="宋体" w:hAnsi="宋体" w:eastAsia="宋体" w:cs="宋体"/>
                <w:color w:val="auto"/>
                <w:spacing w:val="8"/>
                <w:sz w:val="23"/>
                <w:szCs w:val="23"/>
              </w:rPr>
              <w:t>土保持防护措施不完善，造成水土流失，污染当地农田水利的，每次罚款</w:t>
            </w:r>
            <w:r>
              <w:rPr>
                <w:rFonts w:ascii="宋体" w:hAnsi="宋体" w:eastAsia="宋体" w:cs="宋体"/>
                <w:color w:val="auto"/>
                <w:spacing w:val="4"/>
                <w:sz w:val="23"/>
                <w:szCs w:val="23"/>
              </w:rPr>
              <w:t>5</w:t>
            </w:r>
            <w:r>
              <w:rPr>
                <w:rFonts w:ascii="宋体" w:hAnsi="宋体" w:eastAsia="宋体" w:cs="宋体"/>
                <w:color w:val="auto"/>
                <w:spacing w:val="3"/>
                <w:sz w:val="23"/>
                <w:szCs w:val="23"/>
              </w:rPr>
              <w:t>0</w:t>
            </w:r>
            <w:r>
              <w:rPr>
                <w:rFonts w:ascii="宋体" w:hAnsi="宋体" w:eastAsia="宋体" w:cs="宋体"/>
                <w:color w:val="auto"/>
                <w:spacing w:val="2"/>
                <w:sz w:val="23"/>
                <w:szCs w:val="23"/>
              </w:rPr>
              <w:t>00元。</w:t>
            </w:r>
          </w:p>
        </w:tc>
      </w:tr>
    </w:tbl>
    <w:p>
      <w:pPr>
        <w:spacing w:line="242" w:lineRule="auto"/>
        <w:rPr>
          <w:color w:val="auto"/>
          <w:sz w:val="21"/>
        </w:rPr>
        <w:sectPr>
          <w:pgSz w:w="11911" w:h="16838"/>
          <w:pgMar w:top="1247" w:right="1134" w:bottom="1247" w:left="1134" w:header="737" w:footer="850" w:gutter="0"/>
          <w:pgNumType w:fmt="numberInDash"/>
          <w:cols w:space="0" w:num="1"/>
          <w:rtlGutter w:val="0"/>
          <w:docGrid w:linePitch="0" w:charSpace="0"/>
        </w:sectPr>
      </w:pPr>
    </w:p>
    <w:tbl>
      <w:tblPr>
        <w:tblStyle w:val="25"/>
        <w:tblW w:w="9615" w:type="dxa"/>
        <w:tblInd w:w="1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95"/>
        <w:gridCol w:w="600"/>
        <w:gridCol w:w="82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4" w:hRule="atLeast"/>
        </w:trPr>
        <w:tc>
          <w:tcPr>
            <w:tcW w:w="795" w:type="dxa"/>
            <w:vMerge w:val="restart"/>
            <w:tcBorders>
              <w:bottom w:val="single" w:color="000000" w:sz="4" w:space="0"/>
            </w:tcBorders>
          </w:tcPr>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spacing w:before="5"/>
              <w:rPr>
                <w:rFonts w:ascii="Times New Roman"/>
                <w:color w:val="auto"/>
              </w:rPr>
            </w:pPr>
          </w:p>
          <w:p>
            <w:pPr>
              <w:pStyle w:val="32"/>
              <w:spacing w:line="242" w:lineRule="auto"/>
              <w:ind w:left="116" w:right="92"/>
              <w:rPr>
                <w:color w:val="auto"/>
                <w:sz w:val="21"/>
              </w:rPr>
            </w:pPr>
            <w:r>
              <w:rPr>
                <w:color w:val="auto"/>
                <w:sz w:val="21"/>
              </w:rPr>
              <w:t>内业资料</w:t>
            </w:r>
          </w:p>
        </w:tc>
        <w:tc>
          <w:tcPr>
            <w:tcW w:w="600" w:type="dxa"/>
          </w:tcPr>
          <w:p>
            <w:pPr>
              <w:pStyle w:val="32"/>
              <w:spacing w:before="2"/>
              <w:rPr>
                <w:rFonts w:ascii="Times New Roman"/>
                <w:color w:val="auto"/>
                <w:sz w:val="19"/>
              </w:rPr>
            </w:pPr>
          </w:p>
          <w:p>
            <w:pPr>
              <w:pStyle w:val="32"/>
              <w:ind w:left="230"/>
              <w:rPr>
                <w:color w:val="auto"/>
                <w:sz w:val="21"/>
              </w:rPr>
            </w:pPr>
            <w:r>
              <w:rPr>
                <w:color w:val="auto"/>
                <w:sz w:val="21"/>
              </w:rPr>
              <w:t>1</w:t>
            </w:r>
          </w:p>
        </w:tc>
        <w:tc>
          <w:tcPr>
            <w:tcW w:w="8220" w:type="dxa"/>
          </w:tcPr>
          <w:p>
            <w:pPr>
              <w:pStyle w:val="32"/>
              <w:spacing w:before="85" w:line="242" w:lineRule="auto"/>
              <w:ind w:left="108" w:right="19"/>
              <w:rPr>
                <w:color w:val="auto"/>
                <w:sz w:val="21"/>
              </w:rPr>
            </w:pPr>
            <w:r>
              <w:rPr>
                <w:color w:val="auto"/>
                <w:sz w:val="21"/>
              </w:rPr>
              <w:t>开工前须结合工程特点进行分项、分部和单位工程划分，现场质量检查、质量验收资料按照划分进行归纳收集，违者每次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28" w:hRule="atLeast"/>
        </w:trPr>
        <w:tc>
          <w:tcPr>
            <w:tcW w:w="795" w:type="dxa"/>
            <w:vMerge w:val="continue"/>
            <w:tcBorders>
              <w:top w:val="nil"/>
              <w:bottom w:val="single" w:color="000000" w:sz="4" w:space="0"/>
            </w:tcBorders>
          </w:tcPr>
          <w:p>
            <w:pPr>
              <w:rPr>
                <w:color w:val="auto"/>
                <w:sz w:val="2"/>
                <w:szCs w:val="2"/>
              </w:rPr>
            </w:pPr>
          </w:p>
        </w:tc>
        <w:tc>
          <w:tcPr>
            <w:tcW w:w="600" w:type="dxa"/>
            <w:vAlign w:val="center"/>
          </w:tcPr>
          <w:p>
            <w:pPr>
              <w:pStyle w:val="32"/>
              <w:ind w:left="230"/>
              <w:jc w:val="both"/>
              <w:rPr>
                <w:color w:val="auto"/>
                <w:sz w:val="21"/>
              </w:rPr>
            </w:pPr>
            <w:r>
              <w:rPr>
                <w:color w:val="auto"/>
                <w:sz w:val="21"/>
              </w:rPr>
              <w:t>2</w:t>
            </w:r>
          </w:p>
        </w:tc>
        <w:tc>
          <w:tcPr>
            <w:tcW w:w="8220" w:type="dxa"/>
          </w:tcPr>
          <w:p>
            <w:pPr>
              <w:pStyle w:val="32"/>
              <w:spacing w:before="85"/>
              <w:ind w:left="108"/>
              <w:rPr>
                <w:color w:val="auto"/>
                <w:sz w:val="21"/>
              </w:rPr>
            </w:pPr>
            <w:r>
              <w:rPr>
                <w:color w:val="auto"/>
                <w:sz w:val="21"/>
              </w:rPr>
              <w:t>内业原始资料弄虚作假的，不及时填写的，填写不完整规范的，每次</w:t>
            </w:r>
            <w:r>
              <w:rPr>
                <w:rFonts w:hint="eastAsia"/>
                <w:color w:val="auto"/>
                <w:sz w:val="21"/>
                <w:lang w:val="en-US" w:eastAsia="zh-CN"/>
              </w:rPr>
              <w:t>罚款</w:t>
            </w:r>
            <w:r>
              <w:rPr>
                <w:color w:val="auto"/>
                <w:sz w:val="21"/>
              </w:rPr>
              <w:t>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4" w:hRule="atLeast"/>
        </w:trPr>
        <w:tc>
          <w:tcPr>
            <w:tcW w:w="795" w:type="dxa"/>
            <w:vMerge w:val="continue"/>
            <w:tcBorders>
              <w:top w:val="nil"/>
              <w:bottom w:val="single" w:color="000000" w:sz="4" w:space="0"/>
            </w:tcBorders>
          </w:tcPr>
          <w:p>
            <w:pPr>
              <w:rPr>
                <w:color w:val="auto"/>
                <w:sz w:val="2"/>
                <w:szCs w:val="2"/>
              </w:rPr>
            </w:pPr>
          </w:p>
        </w:tc>
        <w:tc>
          <w:tcPr>
            <w:tcW w:w="600" w:type="dxa"/>
          </w:tcPr>
          <w:p>
            <w:pPr>
              <w:pStyle w:val="32"/>
              <w:spacing w:before="2"/>
              <w:rPr>
                <w:rFonts w:ascii="Times New Roman"/>
                <w:color w:val="auto"/>
                <w:sz w:val="19"/>
              </w:rPr>
            </w:pPr>
          </w:p>
          <w:p>
            <w:pPr>
              <w:pStyle w:val="32"/>
              <w:ind w:left="230"/>
              <w:rPr>
                <w:color w:val="auto"/>
                <w:sz w:val="21"/>
              </w:rPr>
            </w:pPr>
            <w:r>
              <w:rPr>
                <w:color w:val="auto"/>
                <w:sz w:val="21"/>
              </w:rPr>
              <w:t>3</w:t>
            </w:r>
          </w:p>
        </w:tc>
        <w:tc>
          <w:tcPr>
            <w:tcW w:w="8220" w:type="dxa"/>
          </w:tcPr>
          <w:p>
            <w:pPr>
              <w:pStyle w:val="32"/>
              <w:spacing w:before="85" w:line="242" w:lineRule="auto"/>
              <w:ind w:left="108" w:right="19"/>
              <w:rPr>
                <w:color w:val="auto"/>
                <w:sz w:val="21"/>
              </w:rPr>
            </w:pPr>
            <w:r>
              <w:rPr>
                <w:color w:val="auto"/>
                <w:sz w:val="21"/>
              </w:rPr>
              <w:t>内业原始资料和整理资料未按有关要求采用文件盒及时归档，每次</w:t>
            </w:r>
            <w:r>
              <w:rPr>
                <w:rFonts w:hint="eastAsia"/>
                <w:color w:val="auto"/>
                <w:sz w:val="21"/>
                <w:lang w:val="en-US" w:eastAsia="zh-CN"/>
              </w:rPr>
              <w:t>罚款</w:t>
            </w:r>
            <w:r>
              <w:rPr>
                <w:color w:val="auto"/>
                <w:sz w:val="21"/>
              </w:rPr>
              <w:t>500元。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4" w:hRule="atLeast"/>
        </w:trPr>
        <w:tc>
          <w:tcPr>
            <w:tcW w:w="795" w:type="dxa"/>
            <w:vMerge w:val="continue"/>
            <w:tcBorders>
              <w:top w:val="nil"/>
              <w:bottom w:val="single" w:color="000000" w:sz="4" w:space="0"/>
            </w:tcBorders>
          </w:tcPr>
          <w:p>
            <w:pPr>
              <w:rPr>
                <w:color w:val="auto"/>
                <w:sz w:val="2"/>
                <w:szCs w:val="2"/>
              </w:rPr>
            </w:pPr>
          </w:p>
        </w:tc>
        <w:tc>
          <w:tcPr>
            <w:tcW w:w="600" w:type="dxa"/>
          </w:tcPr>
          <w:p>
            <w:pPr>
              <w:pStyle w:val="32"/>
              <w:spacing w:before="3"/>
              <w:rPr>
                <w:rFonts w:ascii="Times New Roman"/>
                <w:color w:val="auto"/>
                <w:sz w:val="19"/>
              </w:rPr>
            </w:pPr>
          </w:p>
          <w:p>
            <w:pPr>
              <w:pStyle w:val="32"/>
              <w:ind w:left="230"/>
              <w:rPr>
                <w:color w:val="auto"/>
                <w:sz w:val="21"/>
              </w:rPr>
            </w:pPr>
            <w:r>
              <w:rPr>
                <w:color w:val="auto"/>
                <w:sz w:val="21"/>
              </w:rPr>
              <w:t>4</w:t>
            </w:r>
          </w:p>
        </w:tc>
        <w:tc>
          <w:tcPr>
            <w:tcW w:w="8220" w:type="dxa"/>
          </w:tcPr>
          <w:p>
            <w:pPr>
              <w:pStyle w:val="32"/>
              <w:spacing w:before="85" w:line="242" w:lineRule="auto"/>
              <w:ind w:left="108" w:right="37"/>
              <w:rPr>
                <w:color w:val="auto"/>
                <w:sz w:val="21"/>
              </w:rPr>
            </w:pPr>
            <w:r>
              <w:rPr>
                <w:color w:val="auto"/>
                <w:sz w:val="21"/>
              </w:rPr>
              <w:t>分部工程完成时，须将原始资料、施工记录、进度照片等资料整理归纳，装订成册，违者每次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continue"/>
            <w:tcBorders>
              <w:top w:val="nil"/>
              <w:bottom w:val="single" w:color="000000" w:sz="4" w:space="0"/>
            </w:tcBorders>
          </w:tcPr>
          <w:p>
            <w:pPr>
              <w:rPr>
                <w:color w:val="auto"/>
                <w:sz w:val="2"/>
                <w:szCs w:val="2"/>
              </w:rPr>
            </w:pPr>
          </w:p>
        </w:tc>
        <w:tc>
          <w:tcPr>
            <w:tcW w:w="600" w:type="dxa"/>
          </w:tcPr>
          <w:p>
            <w:pPr>
              <w:pStyle w:val="32"/>
              <w:spacing w:before="85"/>
              <w:ind w:left="230"/>
              <w:rPr>
                <w:color w:val="auto"/>
                <w:sz w:val="21"/>
              </w:rPr>
            </w:pPr>
            <w:r>
              <w:rPr>
                <w:color w:val="auto"/>
                <w:sz w:val="21"/>
              </w:rPr>
              <w:t>5</w:t>
            </w:r>
          </w:p>
        </w:tc>
        <w:tc>
          <w:tcPr>
            <w:tcW w:w="8220" w:type="dxa"/>
          </w:tcPr>
          <w:p>
            <w:pPr>
              <w:pStyle w:val="32"/>
              <w:spacing w:before="85"/>
              <w:ind w:left="108"/>
              <w:rPr>
                <w:color w:val="auto"/>
                <w:sz w:val="21"/>
              </w:rPr>
            </w:pPr>
            <w:r>
              <w:rPr>
                <w:color w:val="auto"/>
                <w:sz w:val="21"/>
              </w:rPr>
              <w:t>试验设备不齐全，未建立试验台帐，每次</w:t>
            </w:r>
            <w:r>
              <w:rPr>
                <w:rFonts w:hint="eastAsia"/>
                <w:color w:val="auto"/>
                <w:sz w:val="21"/>
                <w:lang w:val="en-US" w:eastAsia="zh-CN"/>
              </w:rPr>
              <w:t>罚款</w:t>
            </w:r>
            <w:r>
              <w:rPr>
                <w:color w:val="auto"/>
                <w:sz w:val="21"/>
              </w:rPr>
              <w:t>5,000元。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restart"/>
            <w:tcBorders>
              <w:top w:val="single" w:color="000000" w:sz="4" w:space="0"/>
            </w:tcBorders>
          </w:tcPr>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rPr>
                <w:rFonts w:ascii="Times New Roman"/>
                <w:color w:val="auto"/>
                <w:sz w:val="20"/>
              </w:rPr>
            </w:pPr>
          </w:p>
          <w:p>
            <w:pPr>
              <w:pStyle w:val="32"/>
              <w:spacing w:before="118"/>
              <w:ind w:left="116"/>
              <w:rPr>
                <w:color w:val="auto"/>
                <w:sz w:val="21"/>
              </w:rPr>
            </w:pPr>
            <w:r>
              <w:rPr>
                <w:color w:val="auto"/>
                <w:sz w:val="21"/>
              </w:rPr>
              <w:t>其他</w:t>
            </w:r>
          </w:p>
        </w:tc>
        <w:tc>
          <w:tcPr>
            <w:tcW w:w="600" w:type="dxa"/>
          </w:tcPr>
          <w:p>
            <w:pPr>
              <w:pStyle w:val="32"/>
              <w:spacing w:before="85"/>
              <w:ind w:left="230"/>
              <w:rPr>
                <w:color w:val="auto"/>
                <w:sz w:val="21"/>
              </w:rPr>
            </w:pPr>
            <w:r>
              <w:rPr>
                <w:color w:val="auto"/>
                <w:sz w:val="21"/>
              </w:rPr>
              <w:t>1</w:t>
            </w:r>
          </w:p>
        </w:tc>
        <w:tc>
          <w:tcPr>
            <w:tcW w:w="8220" w:type="dxa"/>
          </w:tcPr>
          <w:p>
            <w:pPr>
              <w:pStyle w:val="32"/>
              <w:spacing w:before="85"/>
              <w:ind w:left="108"/>
              <w:rPr>
                <w:color w:val="auto"/>
                <w:sz w:val="21"/>
              </w:rPr>
            </w:pPr>
            <w:r>
              <w:rPr>
                <w:color w:val="auto"/>
                <w:sz w:val="21"/>
              </w:rPr>
              <w:t>不按照有关规定进行技术交底就进行施工作业的，每次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continue"/>
            <w:tcBorders>
              <w:top w:val="nil"/>
            </w:tcBorders>
          </w:tcPr>
          <w:p>
            <w:pPr>
              <w:rPr>
                <w:color w:val="auto"/>
                <w:sz w:val="2"/>
                <w:szCs w:val="2"/>
              </w:rPr>
            </w:pPr>
          </w:p>
        </w:tc>
        <w:tc>
          <w:tcPr>
            <w:tcW w:w="600" w:type="dxa"/>
          </w:tcPr>
          <w:p>
            <w:pPr>
              <w:pStyle w:val="32"/>
              <w:spacing w:before="85"/>
              <w:ind w:left="230"/>
              <w:rPr>
                <w:color w:val="auto"/>
                <w:sz w:val="21"/>
              </w:rPr>
            </w:pPr>
            <w:r>
              <w:rPr>
                <w:color w:val="auto"/>
                <w:sz w:val="21"/>
              </w:rPr>
              <w:t>2</w:t>
            </w:r>
          </w:p>
        </w:tc>
        <w:tc>
          <w:tcPr>
            <w:tcW w:w="8220" w:type="dxa"/>
          </w:tcPr>
          <w:p>
            <w:pPr>
              <w:pStyle w:val="32"/>
              <w:spacing w:before="85"/>
              <w:ind w:left="108"/>
              <w:rPr>
                <w:color w:val="auto"/>
                <w:sz w:val="21"/>
              </w:rPr>
            </w:pPr>
            <w:r>
              <w:rPr>
                <w:color w:val="auto"/>
                <w:spacing w:val="-3"/>
                <w:sz w:val="21"/>
              </w:rPr>
              <w:t>上一道工序未经监理人签认就进行下一道工序施工的，每次</w:t>
            </w:r>
            <w:r>
              <w:rPr>
                <w:rFonts w:hint="eastAsia"/>
                <w:color w:val="auto"/>
                <w:sz w:val="21"/>
                <w:lang w:val="en-US" w:eastAsia="zh-CN"/>
              </w:rPr>
              <w:t>罚款</w:t>
            </w:r>
            <w:r>
              <w:rPr>
                <w:color w:val="auto"/>
                <w:sz w:val="21"/>
              </w:rPr>
              <w:t>5,000</w:t>
            </w:r>
            <w:r>
              <w:rPr>
                <w:color w:val="auto"/>
                <w:spacing w:val="-21"/>
                <w:sz w:val="21"/>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4" w:hRule="atLeast"/>
        </w:trPr>
        <w:tc>
          <w:tcPr>
            <w:tcW w:w="795" w:type="dxa"/>
            <w:vMerge w:val="continue"/>
            <w:tcBorders>
              <w:top w:val="nil"/>
            </w:tcBorders>
          </w:tcPr>
          <w:p>
            <w:pPr>
              <w:rPr>
                <w:color w:val="auto"/>
                <w:sz w:val="2"/>
                <w:szCs w:val="2"/>
              </w:rPr>
            </w:pPr>
          </w:p>
        </w:tc>
        <w:tc>
          <w:tcPr>
            <w:tcW w:w="600" w:type="dxa"/>
          </w:tcPr>
          <w:p>
            <w:pPr>
              <w:pStyle w:val="32"/>
              <w:spacing w:before="3"/>
              <w:rPr>
                <w:rFonts w:ascii="Times New Roman"/>
                <w:color w:val="auto"/>
                <w:sz w:val="19"/>
              </w:rPr>
            </w:pPr>
          </w:p>
          <w:p>
            <w:pPr>
              <w:pStyle w:val="32"/>
              <w:ind w:left="230"/>
              <w:rPr>
                <w:color w:val="auto"/>
                <w:sz w:val="21"/>
              </w:rPr>
            </w:pPr>
            <w:r>
              <w:rPr>
                <w:color w:val="auto"/>
                <w:sz w:val="21"/>
              </w:rPr>
              <w:t>3</w:t>
            </w:r>
          </w:p>
        </w:tc>
        <w:tc>
          <w:tcPr>
            <w:tcW w:w="8220" w:type="dxa"/>
          </w:tcPr>
          <w:p>
            <w:pPr>
              <w:pStyle w:val="32"/>
              <w:spacing w:before="85" w:line="242" w:lineRule="auto"/>
              <w:ind w:left="108" w:right="62"/>
              <w:rPr>
                <w:color w:val="auto"/>
                <w:sz w:val="21"/>
              </w:rPr>
            </w:pPr>
            <w:r>
              <w:rPr>
                <w:color w:val="auto"/>
                <w:sz w:val="21"/>
              </w:rPr>
              <w:t>要求返工的工程未在规定的时间内进行返工或要求清除出施工现场材料未在规定的时间内清除出场的，每延误一天罚1000元。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continue"/>
            <w:tcBorders>
              <w:top w:val="nil"/>
            </w:tcBorders>
          </w:tcPr>
          <w:p>
            <w:pPr>
              <w:rPr>
                <w:color w:val="auto"/>
                <w:sz w:val="2"/>
                <w:szCs w:val="2"/>
              </w:rPr>
            </w:pPr>
          </w:p>
        </w:tc>
        <w:tc>
          <w:tcPr>
            <w:tcW w:w="600" w:type="dxa"/>
          </w:tcPr>
          <w:p>
            <w:pPr>
              <w:pStyle w:val="32"/>
              <w:spacing w:before="86"/>
              <w:ind w:left="230"/>
              <w:rPr>
                <w:color w:val="auto"/>
                <w:sz w:val="21"/>
              </w:rPr>
            </w:pPr>
            <w:r>
              <w:rPr>
                <w:color w:val="auto"/>
                <w:sz w:val="21"/>
              </w:rPr>
              <w:t>4</w:t>
            </w:r>
          </w:p>
        </w:tc>
        <w:tc>
          <w:tcPr>
            <w:tcW w:w="8220" w:type="dxa"/>
          </w:tcPr>
          <w:p>
            <w:pPr>
              <w:pStyle w:val="32"/>
              <w:spacing w:before="86"/>
              <w:ind w:left="108"/>
              <w:rPr>
                <w:color w:val="auto"/>
                <w:sz w:val="21"/>
              </w:rPr>
            </w:pPr>
            <w:r>
              <w:rPr>
                <w:color w:val="auto"/>
                <w:sz w:val="21"/>
              </w:rPr>
              <w:t>水泥、钢筋、钢筋笼等存放不满足要求的，每次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continue"/>
            <w:tcBorders>
              <w:top w:val="nil"/>
            </w:tcBorders>
          </w:tcPr>
          <w:p>
            <w:pPr>
              <w:rPr>
                <w:color w:val="auto"/>
                <w:sz w:val="2"/>
                <w:szCs w:val="2"/>
              </w:rPr>
            </w:pPr>
          </w:p>
        </w:tc>
        <w:tc>
          <w:tcPr>
            <w:tcW w:w="600" w:type="dxa"/>
          </w:tcPr>
          <w:p>
            <w:pPr>
              <w:pStyle w:val="32"/>
              <w:spacing w:before="86"/>
              <w:ind w:left="230"/>
              <w:rPr>
                <w:color w:val="auto"/>
                <w:sz w:val="21"/>
              </w:rPr>
            </w:pPr>
            <w:r>
              <w:rPr>
                <w:color w:val="auto"/>
                <w:sz w:val="21"/>
              </w:rPr>
              <w:t>5</w:t>
            </w:r>
          </w:p>
        </w:tc>
        <w:tc>
          <w:tcPr>
            <w:tcW w:w="8220" w:type="dxa"/>
          </w:tcPr>
          <w:p>
            <w:pPr>
              <w:pStyle w:val="32"/>
              <w:spacing w:before="86"/>
              <w:ind w:left="108"/>
              <w:rPr>
                <w:color w:val="auto"/>
                <w:sz w:val="21"/>
              </w:rPr>
            </w:pPr>
            <w:r>
              <w:rPr>
                <w:color w:val="auto"/>
                <w:sz w:val="21"/>
              </w:rPr>
              <w:t>所有桩标须加固保护，树立易于识别得标志，违者每处</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3" w:hRule="atLeast"/>
        </w:trPr>
        <w:tc>
          <w:tcPr>
            <w:tcW w:w="795" w:type="dxa"/>
            <w:vMerge w:val="continue"/>
            <w:tcBorders>
              <w:top w:val="nil"/>
            </w:tcBorders>
          </w:tcPr>
          <w:p>
            <w:pPr>
              <w:rPr>
                <w:color w:val="auto"/>
                <w:sz w:val="2"/>
                <w:szCs w:val="2"/>
              </w:rPr>
            </w:pPr>
          </w:p>
        </w:tc>
        <w:tc>
          <w:tcPr>
            <w:tcW w:w="600" w:type="dxa"/>
          </w:tcPr>
          <w:p>
            <w:pPr>
              <w:pStyle w:val="32"/>
              <w:spacing w:before="86"/>
              <w:ind w:left="230"/>
              <w:rPr>
                <w:color w:val="auto"/>
                <w:sz w:val="21"/>
              </w:rPr>
            </w:pPr>
            <w:r>
              <w:rPr>
                <w:color w:val="auto"/>
                <w:sz w:val="21"/>
              </w:rPr>
              <w:t>6</w:t>
            </w:r>
          </w:p>
        </w:tc>
        <w:tc>
          <w:tcPr>
            <w:tcW w:w="8220" w:type="dxa"/>
          </w:tcPr>
          <w:p>
            <w:pPr>
              <w:pStyle w:val="32"/>
              <w:spacing w:before="86"/>
              <w:ind w:left="108"/>
              <w:rPr>
                <w:color w:val="auto"/>
                <w:sz w:val="21"/>
              </w:rPr>
            </w:pPr>
            <w:r>
              <w:rPr>
                <w:color w:val="auto"/>
                <w:sz w:val="21"/>
              </w:rPr>
              <w:t>实验及检测仪器未标定或标定不合格仍使用的，每次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713" w:hRule="atLeast"/>
        </w:trPr>
        <w:tc>
          <w:tcPr>
            <w:tcW w:w="795" w:type="dxa"/>
            <w:vMerge w:val="continue"/>
            <w:tcBorders>
              <w:top w:val="nil"/>
            </w:tcBorders>
          </w:tcPr>
          <w:p>
            <w:pPr>
              <w:rPr>
                <w:color w:val="auto"/>
                <w:sz w:val="2"/>
                <w:szCs w:val="2"/>
              </w:rPr>
            </w:pPr>
          </w:p>
        </w:tc>
        <w:tc>
          <w:tcPr>
            <w:tcW w:w="600" w:type="dxa"/>
          </w:tcPr>
          <w:p>
            <w:pPr>
              <w:pStyle w:val="32"/>
              <w:spacing w:before="127"/>
              <w:ind w:left="230"/>
              <w:rPr>
                <w:color w:val="auto"/>
                <w:sz w:val="21"/>
              </w:rPr>
            </w:pPr>
            <w:r>
              <w:rPr>
                <w:color w:val="auto"/>
                <w:sz w:val="21"/>
              </w:rPr>
              <w:t>7</w:t>
            </w:r>
          </w:p>
        </w:tc>
        <w:tc>
          <w:tcPr>
            <w:tcW w:w="8220" w:type="dxa"/>
          </w:tcPr>
          <w:p>
            <w:pPr>
              <w:pStyle w:val="32"/>
              <w:spacing w:before="85" w:line="242" w:lineRule="auto"/>
              <w:ind w:left="108" w:right="35"/>
              <w:jc w:val="both"/>
              <w:rPr>
                <w:color w:val="auto"/>
                <w:sz w:val="21"/>
              </w:rPr>
            </w:pPr>
            <w:r>
              <w:rPr>
                <w:color w:val="auto"/>
                <w:sz w:val="21"/>
              </w:rPr>
              <w:t>检验项目、方法、频率，没有按设计或规范要求执行；原材料送检和其它自检项目的试验（如钢筋焊接，土的重击实试验）不及时，频率未达到规定要求，每次</w:t>
            </w:r>
            <w:r>
              <w:rPr>
                <w:rFonts w:hint="eastAsia"/>
                <w:color w:val="auto"/>
                <w:sz w:val="21"/>
                <w:lang w:val="en-US" w:eastAsia="zh-CN"/>
              </w:rPr>
              <w:t>罚款</w:t>
            </w:r>
            <w:r>
              <w:rPr>
                <w:color w:val="auto"/>
                <w:sz w:val="21"/>
              </w:rPr>
              <w:t>2,000元。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2" w:hRule="atLeast"/>
        </w:trPr>
        <w:tc>
          <w:tcPr>
            <w:tcW w:w="795" w:type="dxa"/>
            <w:vMerge w:val="continue"/>
            <w:tcBorders>
              <w:top w:val="nil"/>
            </w:tcBorders>
          </w:tcPr>
          <w:p>
            <w:pPr>
              <w:rPr>
                <w:color w:val="auto"/>
                <w:sz w:val="2"/>
                <w:szCs w:val="2"/>
              </w:rPr>
            </w:pPr>
          </w:p>
        </w:tc>
        <w:tc>
          <w:tcPr>
            <w:tcW w:w="600" w:type="dxa"/>
          </w:tcPr>
          <w:p>
            <w:pPr>
              <w:pStyle w:val="32"/>
              <w:spacing w:before="85"/>
              <w:ind w:left="230"/>
              <w:rPr>
                <w:color w:val="auto"/>
                <w:sz w:val="21"/>
              </w:rPr>
            </w:pPr>
            <w:r>
              <w:rPr>
                <w:color w:val="auto"/>
                <w:sz w:val="21"/>
              </w:rPr>
              <w:t>8</w:t>
            </w:r>
          </w:p>
        </w:tc>
        <w:tc>
          <w:tcPr>
            <w:tcW w:w="8220" w:type="dxa"/>
          </w:tcPr>
          <w:p>
            <w:pPr>
              <w:pStyle w:val="32"/>
              <w:spacing w:before="85"/>
              <w:ind w:left="108"/>
              <w:rPr>
                <w:color w:val="auto"/>
                <w:sz w:val="21"/>
              </w:rPr>
            </w:pPr>
            <w:r>
              <w:rPr>
                <w:color w:val="auto"/>
                <w:sz w:val="21"/>
              </w:rPr>
              <w:t>未经检验合格的材料（原材料、锚具等）</w:t>
            </w:r>
            <w:r>
              <w:rPr>
                <w:color w:val="auto"/>
                <w:spacing w:val="-6"/>
                <w:sz w:val="21"/>
              </w:rPr>
              <w:t>用于施工的，每次</w:t>
            </w:r>
            <w:r>
              <w:rPr>
                <w:rFonts w:hint="eastAsia"/>
                <w:color w:val="auto"/>
                <w:sz w:val="21"/>
                <w:lang w:val="en-US" w:eastAsia="zh-CN"/>
              </w:rPr>
              <w:t>罚款</w:t>
            </w:r>
            <w:r>
              <w:rPr>
                <w:color w:val="auto"/>
                <w:sz w:val="21"/>
              </w:rPr>
              <w:t>5,000</w:t>
            </w:r>
            <w:r>
              <w:rPr>
                <w:color w:val="auto"/>
                <w:spacing w:val="-21"/>
                <w:sz w:val="21"/>
              </w:rPr>
              <w:t>元。</w:t>
            </w:r>
          </w:p>
        </w:tc>
      </w:tr>
    </w:tbl>
    <w:p>
      <w:pPr>
        <w:rPr>
          <w:color w:val="auto"/>
          <w:sz w:val="21"/>
        </w:rPr>
        <w:sectPr>
          <w:pgSz w:w="11911" w:h="16838"/>
          <w:pgMar w:top="1247" w:right="1134" w:bottom="1247" w:left="1134" w:header="737" w:footer="850" w:gutter="0"/>
          <w:pgNumType w:fmt="numberInDash"/>
          <w:cols w:space="0" w:num="1"/>
          <w:rtlGutter w:val="0"/>
          <w:docGrid w:linePitch="0" w:charSpace="0"/>
        </w:sectPr>
      </w:pPr>
    </w:p>
    <w:p>
      <w:pPr>
        <w:pStyle w:val="10"/>
        <w:spacing w:before="66"/>
        <w:ind w:left="0" w:leftChars="0" w:firstLine="0" w:firstLineChars="0"/>
        <w:rPr>
          <w:rFonts w:hint="eastAsia" w:ascii="Times New Roman" w:hAnsi="Times New Roman" w:eastAsia="宋体" w:cs="Times New Roman"/>
          <w:b/>
          <w:bCs w:val="0"/>
          <w:color w:val="auto"/>
          <w:kern w:val="0"/>
          <w:sz w:val="24"/>
          <w:szCs w:val="24"/>
          <w:highlight w:val="none"/>
          <w:lang w:val="en-US" w:eastAsia="zh-CN" w:bidi="ar-SA"/>
        </w:rPr>
      </w:pPr>
      <w:r>
        <w:rPr>
          <w:b/>
          <w:bCs/>
          <w:color w:val="auto"/>
        </w:rPr>
        <w:t>附件</w:t>
      </w:r>
      <w:r>
        <w:rPr>
          <w:rFonts w:hint="eastAsia"/>
          <w:b/>
          <w:bCs/>
          <w:color w:val="auto"/>
          <w:lang w:val="en-US" w:eastAsia="zh-CN"/>
        </w:rPr>
        <w:t>八</w:t>
      </w:r>
      <w:r>
        <w:rPr>
          <w:b/>
          <w:bCs/>
          <w:color w:val="auto"/>
        </w:rPr>
        <w:t>：</w:t>
      </w:r>
      <w:r>
        <w:rPr>
          <w:rFonts w:hint="eastAsia" w:ascii="Times New Roman" w:hAnsi="Times New Roman" w:eastAsia="宋体" w:cs="Times New Roman"/>
          <w:b/>
          <w:bCs w:val="0"/>
          <w:color w:val="auto"/>
          <w:kern w:val="0"/>
          <w:sz w:val="24"/>
          <w:szCs w:val="24"/>
          <w:highlight w:val="none"/>
          <w:lang w:val="en-US" w:eastAsia="zh-CN" w:bidi="ar-SA"/>
        </w:rPr>
        <w:t>建设工程农民工工资支付保证书</w:t>
      </w:r>
    </w:p>
    <w:p>
      <w:pPr>
        <w:rPr>
          <w:color w:val="auto"/>
        </w:rPr>
      </w:pPr>
    </w:p>
    <w:p>
      <w:pPr>
        <w:pStyle w:val="41"/>
        <w:spacing w:line="360" w:lineRule="auto"/>
        <w:ind w:firstLine="480" w:firstLineChars="200"/>
        <w:rPr>
          <w:rFonts w:ascii="宋体" w:hAnsi="宋体" w:cs="宋体"/>
          <w:color w:val="auto"/>
          <w:sz w:val="24"/>
          <w:highlight w:val="none"/>
          <w:u w:val="single"/>
        </w:rPr>
      </w:pPr>
      <w:r>
        <w:rPr>
          <w:rFonts w:hint="eastAsia" w:ascii="宋体" w:hAnsi="宋体" w:cs="宋体"/>
          <w:color w:val="auto"/>
          <w:sz w:val="24"/>
          <w:highlight w:val="none"/>
        </w:rPr>
        <w:t>致：</w:t>
      </w:r>
      <w:r>
        <w:rPr>
          <w:rFonts w:hint="eastAsia" w:ascii="宋体" w:hAnsi="宋体" w:cs="宋体"/>
          <w:color w:val="auto"/>
          <w:sz w:val="24"/>
          <w:highlight w:val="none"/>
          <w:u w:val="single"/>
        </w:rPr>
        <w:tab/>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鉴于</w:t>
      </w:r>
      <w:r>
        <w:rPr>
          <w:rFonts w:hint="eastAsia" w:ascii="宋体" w:hAnsi="宋体" w:cs="宋体"/>
          <w:color w:val="auto"/>
          <w:sz w:val="24"/>
          <w:highlight w:val="none"/>
          <w:u w:val="single"/>
        </w:rPr>
        <w:tab/>
      </w:r>
      <w:r>
        <w:rPr>
          <w:rFonts w:hint="eastAsia" w:ascii="宋体" w:hAnsi="宋体" w:cs="宋体"/>
          <w:color w:val="auto"/>
          <w:sz w:val="24"/>
          <w:highlight w:val="none"/>
        </w:rPr>
        <w:t>(以下简称“承包人”)拟与</w:t>
      </w:r>
      <w:r>
        <w:rPr>
          <w:rFonts w:hint="eastAsia" w:ascii="宋体" w:hAnsi="宋体" w:cs="宋体"/>
          <w:color w:val="auto"/>
          <w:sz w:val="24"/>
          <w:highlight w:val="none"/>
          <w:u w:val="single"/>
        </w:rPr>
        <w:tab/>
      </w:r>
      <w:r>
        <w:rPr>
          <w:rFonts w:hint="eastAsia" w:ascii="宋体" w:hAnsi="宋体" w:cs="宋体"/>
          <w:color w:val="auto"/>
          <w:sz w:val="24"/>
          <w:highlight w:val="none"/>
        </w:rPr>
        <w:t>(以下简称“发包人”)签订</w:t>
      </w:r>
      <w:r>
        <w:rPr>
          <w:rFonts w:hint="eastAsia" w:ascii="宋体" w:hAnsi="宋体" w:cs="宋体"/>
          <w:color w:val="auto"/>
          <w:sz w:val="24"/>
          <w:highlight w:val="none"/>
          <w:u w:val="single"/>
        </w:rPr>
        <w:tab/>
      </w:r>
      <w:r>
        <w:rPr>
          <w:rFonts w:hint="eastAsia" w:ascii="宋体" w:hAnsi="宋体" w:cs="宋体"/>
          <w:color w:val="auto"/>
          <w:sz w:val="24"/>
          <w:highlight w:val="none"/>
        </w:rPr>
        <w:t>项目第合同段的施工承包合同，为规范本项目农民工工资的支付行为，预防和解决施工承包人拖欠或克扣农民工工资问题，切实保障农民工的合法利益，维护社会稳定，根据《中华人民共和国劳动</w:t>
      </w:r>
      <w:r>
        <w:rPr>
          <w:rFonts w:hint="eastAsia" w:ascii="宋体" w:hAnsi="宋体" w:cs="宋体"/>
          <w:color w:val="auto"/>
          <w:sz w:val="24"/>
          <w:highlight w:val="none"/>
          <w:lang w:val="en-US" w:eastAsia="zh-CN"/>
        </w:rPr>
        <w:t>民法典</w:t>
      </w:r>
      <w:r>
        <w:rPr>
          <w:rFonts w:hint="eastAsia" w:ascii="宋体" w:hAnsi="宋体" w:cs="宋体"/>
          <w:color w:val="auto"/>
          <w:sz w:val="24"/>
          <w:highlight w:val="none"/>
        </w:rPr>
        <w:t>》、《建筑法》、《国务院关于解决农民工问题的若干意见》、《工资支付暂行规定》和《广东省建设领域工人工资支付分账管理暂行办法》等有关法律、法规，结合本项目建设管理的具体情况，承包人在此承诺：</w:t>
      </w:r>
    </w:p>
    <w:p>
      <w:pPr>
        <w:pStyle w:val="41"/>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rPr>
        <w:t>一、承诺严格按照国家法规和相关规定与农民工或与具备用工主体资格的组织签订劳动合同，按照当地劳动保障部门要求及时进行用工备案。严格根据劳动合同约定的农民工工资标准等内容，按照依法签订的劳动合同约定的日期按月支付工资，且不低于当地最低工资标准。若因违反上述法律、法规及相关管理办法而引发的民工工资纠纷等，承包人承担所有的民事及刑事法律责任。</w:t>
      </w:r>
    </w:p>
    <w:p>
      <w:pPr>
        <w:pStyle w:val="41"/>
        <w:spacing w:line="360" w:lineRule="auto"/>
        <w:ind w:firstLine="480" w:firstLineChars="200"/>
        <w:rPr>
          <w:rFonts w:hint="eastAsia" w:ascii="宋体" w:hAnsi="宋体" w:eastAsia="宋体" w:cs="宋体"/>
          <w:color w:val="auto"/>
          <w:sz w:val="24"/>
          <w:highlight w:val="none"/>
          <w:lang w:val="en-US" w:eastAsia="zh-CN"/>
        </w:rPr>
      </w:pPr>
      <w:r>
        <w:rPr>
          <w:rFonts w:hint="eastAsia" w:ascii="宋体" w:hAnsi="宋体" w:cs="宋体"/>
          <w:color w:val="auto"/>
          <w:sz w:val="24"/>
          <w:highlight w:val="none"/>
          <w:lang w:val="en-US" w:eastAsia="zh-CN"/>
        </w:rPr>
        <w:t>二、承诺建立并督促分包单位落实用工实名管理制度，取得施工许可或者开工报告的在建建设工程项目，建立现场人员基本信息档案，实行实名管理，按要求将相关信息录入实名制管理系统。</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lang w:val="en-US" w:eastAsia="zh-CN"/>
        </w:rPr>
        <w:t>三</w:t>
      </w:r>
      <w:r>
        <w:rPr>
          <w:rFonts w:hint="eastAsia" w:ascii="宋体" w:hAnsi="宋体" w:cs="宋体"/>
          <w:color w:val="auto"/>
          <w:sz w:val="24"/>
          <w:highlight w:val="none"/>
        </w:rPr>
        <w:t>、决不违反有关规定，将工程转包、分包给不具备用工主体资格的组织或个人，并独自承担因违反上述规定而引发的民工工资纠纷等所有民事及刑事的法律连带责任。</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lang w:val="en-US" w:eastAsia="zh-CN"/>
        </w:rPr>
        <w:t>四</w:t>
      </w:r>
      <w:r>
        <w:rPr>
          <w:rFonts w:hint="eastAsia" w:ascii="宋体" w:hAnsi="宋体" w:cs="宋体"/>
          <w:color w:val="auto"/>
          <w:sz w:val="24"/>
          <w:highlight w:val="none"/>
        </w:rPr>
        <w:t>、承诺开展劳动法、建筑法等普法学习教育活动，建立健全承包人农民工用工制度，制定农民工劳动保护措施，实施劳动工资支付监控机制，建立劳动用工的举报投诉制度，设立专门的举报投诉电话，受理相关单位和个人的举报及投诉，监督并认真查处合同范围内的侵害农民工按劳取酬合法权益的行为。</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lang w:val="en-US" w:eastAsia="zh-CN"/>
        </w:rPr>
        <w:t>五</w:t>
      </w:r>
      <w:r>
        <w:rPr>
          <w:rFonts w:hint="eastAsia" w:ascii="宋体" w:hAnsi="宋体" w:cs="宋体"/>
          <w:color w:val="auto"/>
          <w:sz w:val="24"/>
          <w:highlight w:val="none"/>
        </w:rPr>
        <w:t>、承诺在工地现场宣传栏中公布发包人关于农民工工资管理的有关法律法规、制度，公开发包人的投诉电话。</w:t>
      </w:r>
    </w:p>
    <w:p>
      <w:pPr>
        <w:pStyle w:val="41"/>
        <w:spacing w:line="360" w:lineRule="auto"/>
        <w:ind w:firstLine="480" w:firstLineChars="200"/>
        <w:rPr>
          <w:rFonts w:hint="eastAsia" w:ascii="宋体" w:hAnsi="宋体" w:cs="宋体"/>
          <w:color w:val="auto"/>
          <w:sz w:val="24"/>
          <w:highlight w:val="none"/>
        </w:rPr>
      </w:pPr>
      <w:r>
        <w:rPr>
          <w:rFonts w:hint="eastAsia" w:ascii="宋体" w:hAnsi="宋体" w:cs="宋体"/>
          <w:color w:val="auto"/>
          <w:sz w:val="24"/>
          <w:highlight w:val="none"/>
          <w:lang w:val="en-US" w:eastAsia="zh-CN"/>
        </w:rPr>
        <w:t>六</w:t>
      </w:r>
      <w:r>
        <w:rPr>
          <w:rFonts w:hint="eastAsia" w:ascii="宋体" w:hAnsi="宋体" w:cs="宋体"/>
          <w:color w:val="auto"/>
          <w:sz w:val="24"/>
          <w:highlight w:val="none"/>
        </w:rPr>
        <w:t>、承诺在本项目工程开工前承包人制定内部工资支付办法，并抄报监理、发包人，同时告知全体农民工。内部工资支付办法包括以下内容：支付项目、支付标准、支付方式、支付周期和日期、加班工资计算基数、特殊情况下的工资支付以及其他工资支付等。支付程序也将明文规定，且严格按章办事。工资支付管理接受监理、发包人及上级主管单位的监督和检查。</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lang w:val="en-US" w:eastAsia="zh-CN"/>
        </w:rPr>
        <w:t>七</w:t>
      </w:r>
      <w:r>
        <w:rPr>
          <w:rFonts w:hint="eastAsia" w:ascii="宋体" w:hAnsi="宋体" w:cs="宋体"/>
          <w:color w:val="auto"/>
          <w:sz w:val="24"/>
          <w:highlight w:val="none"/>
        </w:rPr>
        <w:t>、承诺指定专人负责对农民工工资进行发放，实行专户管理，开设本项目农民工工资专用帐户，以银行转账方式按月直接支付工资(原则上是当月支付，最多不超过拖欠2个月，但须书面告知业主单位拖欠原因)。</w:t>
      </w:r>
    </w:p>
    <w:p>
      <w:pPr>
        <w:pStyle w:val="41"/>
        <w:spacing w:line="360" w:lineRule="auto"/>
        <w:ind w:firstLine="480" w:firstLineChars="200"/>
        <w:rPr>
          <w:rFonts w:ascii="宋体" w:hAnsi="宋体" w:cs="宋体"/>
          <w:color w:val="auto"/>
          <w:sz w:val="24"/>
          <w:szCs w:val="24"/>
          <w:highlight w:val="none"/>
        </w:rPr>
      </w:pPr>
      <w:r>
        <w:rPr>
          <w:rFonts w:hint="eastAsia" w:ascii="宋体" w:hAnsi="宋体" w:cs="宋体"/>
          <w:color w:val="auto"/>
          <w:sz w:val="24"/>
          <w:highlight w:val="none"/>
          <w:lang w:val="en-US" w:eastAsia="zh-CN"/>
        </w:rPr>
        <w:t>八</w:t>
      </w:r>
      <w:r>
        <w:rPr>
          <w:rFonts w:hint="eastAsia" w:ascii="宋体" w:hAnsi="宋体" w:cs="宋体"/>
          <w:color w:val="auto"/>
          <w:sz w:val="24"/>
          <w:highlight w:val="none"/>
        </w:rPr>
        <w:t>、在合同工程范围内，一旦承包人发现任何下属单位、分包单位、施工班组等在劳动用工与工资结算支付活动中存在有违反法律法规规定的行为，承包人将以最快的速度、采取最得力的措施就地予以纠正，同时将有关问题抄报监理人及发包人，在监理人、发包人或劳动</w:t>
      </w:r>
      <w:r>
        <w:rPr>
          <w:rFonts w:hint="eastAsia" w:ascii="宋体" w:hAnsi="宋体" w:cs="宋体"/>
          <w:color w:val="auto"/>
          <w:sz w:val="24"/>
          <w:szCs w:val="24"/>
          <w:highlight w:val="none"/>
        </w:rPr>
        <w:t>监察部门有要求或规定时，将处理结果上报备案。</w:t>
      </w:r>
    </w:p>
    <w:p>
      <w:pPr>
        <w:pStyle w:val="41"/>
        <w:spacing w:line="360" w:lineRule="auto"/>
        <w:ind w:firstLine="480" w:firstLineChars="200"/>
        <w:rPr>
          <w:rFonts w:hint="eastAsia" w:ascii="宋体" w:hAnsi="宋体" w:cs="宋体"/>
          <w:color w:val="auto"/>
          <w:sz w:val="24"/>
          <w:szCs w:val="24"/>
          <w:highlight w:val="none"/>
        </w:rPr>
      </w:pPr>
      <w:r>
        <w:rPr>
          <w:rFonts w:hint="eastAsia" w:ascii="宋体" w:hAnsi="宋体" w:cs="宋体"/>
          <w:color w:val="auto"/>
          <w:sz w:val="24"/>
          <w:szCs w:val="24"/>
          <w:highlight w:val="none"/>
          <w:lang w:val="en-US" w:eastAsia="zh-CN"/>
        </w:rPr>
        <w:t>九</w:t>
      </w:r>
      <w:r>
        <w:rPr>
          <w:rFonts w:hint="eastAsia" w:ascii="宋体" w:hAnsi="宋体" w:cs="宋体"/>
          <w:color w:val="auto"/>
          <w:sz w:val="24"/>
          <w:szCs w:val="24"/>
          <w:highlight w:val="none"/>
        </w:rPr>
        <w:t>、承诺在收到中标通知书后且合同签署前，按规定向发包人缴纳工资保障金，金额为</w:t>
      </w:r>
    </w:p>
    <w:p>
      <w:pPr>
        <w:pStyle w:val="41"/>
        <w:spacing w:line="360" w:lineRule="auto"/>
        <w:rPr>
          <w:rFonts w:ascii="宋体" w:hAnsi="宋体" w:cs="宋体"/>
          <w:color w:val="auto"/>
          <w:sz w:val="24"/>
          <w:szCs w:val="24"/>
          <w:highlight w:val="none"/>
        </w:rPr>
      </w:pPr>
      <w:r>
        <w:rPr>
          <w:rFonts w:hint="eastAsia" w:ascii="宋体" w:hAnsi="宋体" w:cs="宋体"/>
          <w:color w:val="auto"/>
          <w:sz w:val="24"/>
          <w:szCs w:val="24"/>
          <w:highlight w:val="none"/>
        </w:rPr>
        <w:t>元人民币，用于支付拖欠的农民工工资，如工资保障金不足，发包人有权利在应支付给承包人的工程款或是履约保证金中划扣支付。该保障金余额发包人将于本项目施工完毕，并交工验收合格后退还。</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lang w:val="en-US" w:eastAsia="zh-CN"/>
        </w:rPr>
        <w:t>十</w:t>
      </w:r>
      <w:r>
        <w:rPr>
          <w:rFonts w:hint="eastAsia" w:ascii="宋体" w:hAnsi="宋体" w:cs="宋体"/>
          <w:color w:val="auto"/>
          <w:sz w:val="24"/>
          <w:highlight w:val="none"/>
        </w:rPr>
        <w:t>、承诺建立农民工工资支付台帐，如实记录支付时间、支付对象、支付数额等工资支付情况，并于每月申请支付计量款时将上期工资表及工资支付台帐上报监理和发包人。若承包人拖欠民工工资两个月以上且一直未得到解决的，发包人有权利不给予承包人当月计量的工程款，直至拖欠的民工工资得到支付，或者发包人有权利直接从承包人按规定缴纳的工资保障金或应支付给承包人的工程款或是履约保证金中直接扣除相应费用后向民工进行支付，承包人均无异议。</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十</w:t>
      </w:r>
      <w:r>
        <w:rPr>
          <w:rFonts w:hint="eastAsia" w:ascii="宋体" w:hAnsi="宋体" w:cs="宋体"/>
          <w:color w:val="auto"/>
          <w:sz w:val="24"/>
          <w:highlight w:val="none"/>
          <w:lang w:val="en-US" w:eastAsia="zh-CN"/>
        </w:rPr>
        <w:t>一</w:t>
      </w:r>
      <w:r>
        <w:rPr>
          <w:rFonts w:hint="eastAsia" w:ascii="宋体" w:hAnsi="宋体" w:cs="宋体"/>
          <w:color w:val="auto"/>
          <w:sz w:val="24"/>
          <w:highlight w:val="none"/>
        </w:rPr>
        <w:t>、在合同工程实施过程中如有发生不按规定签订劳动合同或签订劳动合同不规范情况；或拖欠农民工工资、侵害农民工合法权益、农民工劳动安全保护欠缺的情况；或因欠薪导致的闹事、打斗、死伤、上访事件，承包人愿接受监理人和/或发包人按合同或下发的管理办法规定的违约金。如果发生上述情况是因为我方违法分包、转包或出让资质、挂靠投标造成的，承包人对发包人或发包人的上级主管部门、政府机构提出的取消中标资格、终止合同、通报批评等违约金表示理解并无条件接受。</w:t>
      </w:r>
    </w:p>
    <w:p>
      <w:pPr>
        <w:pStyle w:val="41"/>
        <w:spacing w:line="360" w:lineRule="auto"/>
        <w:ind w:firstLine="480" w:firstLineChars="200"/>
        <w:rPr>
          <w:rFonts w:ascii="宋体" w:hAnsi="宋体" w:cs="宋体"/>
          <w:color w:val="auto"/>
          <w:sz w:val="24"/>
          <w:highlight w:val="none"/>
        </w:rPr>
      </w:pPr>
      <w:r>
        <w:rPr>
          <w:rFonts w:hint="eastAsia" w:ascii="宋体" w:hAnsi="宋体" w:cs="宋体"/>
          <w:color w:val="auto"/>
          <w:sz w:val="24"/>
          <w:highlight w:val="none"/>
        </w:rPr>
        <w:t>十</w:t>
      </w:r>
      <w:r>
        <w:rPr>
          <w:rFonts w:hint="eastAsia" w:ascii="宋体" w:hAnsi="宋体" w:cs="宋体"/>
          <w:color w:val="auto"/>
          <w:sz w:val="24"/>
          <w:highlight w:val="none"/>
          <w:lang w:val="en-US" w:eastAsia="zh-CN"/>
        </w:rPr>
        <w:t>二</w:t>
      </w:r>
      <w:r>
        <w:rPr>
          <w:rFonts w:hint="eastAsia" w:ascii="宋体" w:hAnsi="宋体" w:cs="宋体"/>
          <w:color w:val="auto"/>
          <w:sz w:val="24"/>
          <w:highlight w:val="none"/>
        </w:rPr>
        <w:t>、本保证书作为本项目施工承包合同的有效组成部分，纳入合同一并签署，在承包人法定代表人或委托代理人签署并加盖公章后生效，并保证在施工承包合同有效期内一直保持有效。</w:t>
      </w:r>
    </w:p>
    <w:p>
      <w:pPr>
        <w:widowControl w:val="0"/>
        <w:tabs>
          <w:tab w:val="left" w:pos="6543"/>
        </w:tabs>
        <w:spacing w:before="1"/>
        <w:ind w:left="2974"/>
        <w:jc w:val="center"/>
        <w:rPr>
          <w:rFonts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承包人</w:t>
      </w:r>
      <w:r>
        <w:rPr>
          <w:rFonts w:hint="eastAsia" w:ascii="宋体" w:hAnsi="宋体" w:eastAsia="宋体" w:cs="宋体"/>
          <w:color w:val="auto"/>
          <w:spacing w:val="-2"/>
          <w:kern w:val="2"/>
          <w:sz w:val="24"/>
          <w:szCs w:val="24"/>
          <w:highlight w:val="none"/>
          <w:lang w:val="en-US" w:eastAsia="zh-CN" w:bidi="ar-SA"/>
        </w:rPr>
        <w:t>（</w:t>
      </w:r>
      <w:r>
        <w:rPr>
          <w:rFonts w:hint="eastAsia" w:ascii="宋体" w:hAnsi="宋体" w:eastAsia="宋体" w:cs="宋体"/>
          <w:color w:val="auto"/>
          <w:kern w:val="2"/>
          <w:sz w:val="24"/>
          <w:szCs w:val="24"/>
          <w:highlight w:val="none"/>
          <w:lang w:val="en-US" w:eastAsia="zh-CN" w:bidi="ar-SA"/>
        </w:rPr>
        <w:t>盖章</w:t>
      </w:r>
      <w:r>
        <w:rPr>
          <w:rFonts w:hint="eastAsia" w:ascii="宋体" w:hAnsi="宋体" w:eastAsia="宋体" w:cs="宋体"/>
          <w:color w:val="auto"/>
          <w:spacing w:val="-105"/>
          <w:kern w:val="2"/>
          <w:sz w:val="24"/>
          <w:szCs w:val="24"/>
          <w:highlight w:val="none"/>
          <w:lang w:val="en-US" w:eastAsia="zh-CN" w:bidi="ar-SA"/>
        </w:rPr>
        <w:t>）</w:t>
      </w:r>
      <w:r>
        <w:rPr>
          <w:rFonts w:hint="eastAsia" w:ascii="宋体" w:hAnsi="宋体" w:eastAsia="宋体" w:cs="宋体"/>
          <w:color w:val="auto"/>
          <w:spacing w:val="-1"/>
          <w:kern w:val="2"/>
          <w:sz w:val="24"/>
          <w:szCs w:val="24"/>
          <w:highlight w:val="none"/>
          <w:lang w:val="en-US" w:eastAsia="zh-CN" w:bidi="ar-SA"/>
        </w:rPr>
        <w:t>：</w:t>
      </w:r>
      <w:r>
        <w:rPr>
          <w:rFonts w:hint="eastAsia" w:ascii="宋体" w:hAnsi="宋体" w:eastAsia="宋体" w:cs="宋体"/>
          <w:color w:val="auto"/>
          <w:kern w:val="2"/>
          <w:sz w:val="24"/>
          <w:szCs w:val="24"/>
          <w:highlight w:val="none"/>
          <w:u w:val="single"/>
          <w:lang w:val="en-US" w:eastAsia="zh-CN" w:bidi="ar-SA"/>
        </w:rPr>
        <w:tab/>
      </w:r>
    </w:p>
    <w:p>
      <w:pPr>
        <w:widowControl w:val="0"/>
        <w:tabs>
          <w:tab w:val="left" w:pos="8055"/>
        </w:tabs>
        <w:spacing w:before="138"/>
        <w:ind w:left="3037"/>
        <w:jc w:val="center"/>
        <w:rPr>
          <w:rFonts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法定代表</w:t>
      </w:r>
      <w:r>
        <w:rPr>
          <w:rFonts w:hint="eastAsia" w:ascii="宋体" w:hAnsi="宋体" w:eastAsia="宋体" w:cs="宋体"/>
          <w:color w:val="auto"/>
          <w:spacing w:val="-2"/>
          <w:kern w:val="2"/>
          <w:sz w:val="24"/>
          <w:szCs w:val="24"/>
          <w:highlight w:val="none"/>
          <w:lang w:val="en-US" w:eastAsia="zh-CN" w:bidi="ar-SA"/>
        </w:rPr>
        <w:t>人</w:t>
      </w:r>
      <w:r>
        <w:rPr>
          <w:rFonts w:hint="eastAsia" w:ascii="宋体" w:hAnsi="宋体" w:eastAsia="宋体" w:cs="宋体"/>
          <w:color w:val="auto"/>
          <w:kern w:val="2"/>
          <w:sz w:val="24"/>
          <w:szCs w:val="24"/>
          <w:highlight w:val="none"/>
          <w:lang w:val="en-US" w:eastAsia="zh-CN" w:bidi="ar-SA"/>
        </w:rPr>
        <w:t>或其委托代理人</w:t>
      </w:r>
      <w:r>
        <w:rPr>
          <w:rFonts w:hint="eastAsia" w:ascii="宋体" w:hAnsi="宋体" w:eastAsia="宋体" w:cs="宋体"/>
          <w:color w:val="auto"/>
          <w:spacing w:val="-105"/>
          <w:kern w:val="2"/>
          <w:sz w:val="24"/>
          <w:szCs w:val="24"/>
          <w:highlight w:val="none"/>
          <w:lang w:val="en-US" w:eastAsia="zh-CN" w:bidi="ar-SA"/>
        </w:rPr>
        <w:t>：</w:t>
      </w:r>
      <w:r>
        <w:rPr>
          <w:rFonts w:hint="eastAsia" w:ascii="宋体" w:hAnsi="宋体" w:eastAsia="宋体" w:cs="宋体"/>
          <w:color w:val="auto"/>
          <w:spacing w:val="-1"/>
          <w:kern w:val="2"/>
          <w:sz w:val="24"/>
          <w:szCs w:val="24"/>
          <w:highlight w:val="none"/>
          <w:lang w:val="en-US" w:eastAsia="zh-CN" w:bidi="ar-SA"/>
        </w:rPr>
        <w:t>（签字</w:t>
      </w:r>
      <w:r>
        <w:rPr>
          <w:rFonts w:hint="eastAsia" w:ascii="宋体" w:hAnsi="宋体" w:eastAsia="宋体" w:cs="宋体"/>
          <w:color w:val="auto"/>
          <w:kern w:val="2"/>
          <w:sz w:val="24"/>
          <w:szCs w:val="24"/>
          <w:highlight w:val="none"/>
          <w:lang w:val="en-US" w:eastAsia="zh-CN" w:bidi="ar-SA"/>
        </w:rPr>
        <w:t>）</w:t>
      </w:r>
      <w:r>
        <w:rPr>
          <w:rFonts w:hint="eastAsia" w:ascii="宋体" w:hAnsi="宋体" w:eastAsia="宋体" w:cs="宋体"/>
          <w:color w:val="auto"/>
          <w:kern w:val="2"/>
          <w:sz w:val="24"/>
          <w:szCs w:val="24"/>
          <w:highlight w:val="none"/>
          <w:u w:val="single"/>
          <w:lang w:val="en-US" w:eastAsia="zh-CN" w:bidi="ar-SA"/>
        </w:rPr>
        <w:tab/>
      </w:r>
    </w:p>
    <w:p>
      <w:pPr>
        <w:pStyle w:val="42"/>
        <w:spacing w:line="360" w:lineRule="auto"/>
        <w:ind w:firstLine="4800" w:firstLineChars="2000"/>
        <w:rPr>
          <w:rFonts w:ascii="宋体" w:hAnsi="宋体" w:cs="宋体"/>
          <w:color w:val="auto"/>
          <w:spacing w:val="-5"/>
          <w:sz w:val="24"/>
          <w:szCs w:val="24"/>
          <w:highlight w:val="none"/>
        </w:rPr>
      </w:pPr>
      <w:r>
        <w:rPr>
          <w:rFonts w:hint="eastAsia" w:ascii="宋体" w:hAnsi="宋体" w:cs="宋体"/>
          <w:color w:val="auto"/>
          <w:sz w:val="24"/>
          <w:szCs w:val="24"/>
          <w:highlight w:val="none"/>
        </w:rPr>
        <w:t>年</w:t>
      </w:r>
      <w:r>
        <w:rPr>
          <w:rFonts w:hint="eastAsia" w:ascii="宋体" w:hAnsi="宋体" w:cs="宋体"/>
          <w:color w:val="auto"/>
          <w:sz w:val="24"/>
          <w:szCs w:val="24"/>
          <w:highlight w:val="none"/>
        </w:rPr>
        <w:tab/>
      </w:r>
      <w:r>
        <w:rPr>
          <w:rFonts w:hint="eastAsia" w:ascii="宋体" w:hAnsi="宋体" w:cs="宋体"/>
          <w:color w:val="auto"/>
          <w:sz w:val="24"/>
          <w:szCs w:val="24"/>
          <w:highlight w:val="none"/>
        </w:rPr>
        <w:t>月</w:t>
      </w:r>
      <w:r>
        <w:rPr>
          <w:rFonts w:hint="eastAsia" w:ascii="宋体" w:hAnsi="宋体" w:cs="宋体"/>
          <w:color w:val="auto"/>
          <w:sz w:val="24"/>
          <w:szCs w:val="24"/>
          <w:highlight w:val="none"/>
        </w:rPr>
        <w:tab/>
      </w:r>
      <w:r>
        <w:rPr>
          <w:rFonts w:hint="eastAsia" w:ascii="宋体" w:hAnsi="宋体" w:cs="宋体"/>
          <w:color w:val="auto"/>
          <w:sz w:val="24"/>
          <w:szCs w:val="24"/>
          <w:highlight w:val="none"/>
        </w:rPr>
        <w:t>日</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rPr>
          <w:b/>
          <w:bCs/>
          <w:color w:val="auto"/>
        </w:rPr>
      </w:pPr>
      <w:r>
        <w:rPr>
          <w:b/>
          <w:bCs/>
          <w:color w:val="auto"/>
        </w:rPr>
        <w:br w:type="page"/>
      </w: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rPr>
          <w:rFonts w:ascii="Times New Roman"/>
          <w:color w:val="auto"/>
          <w:sz w:val="20"/>
        </w:rPr>
      </w:pPr>
    </w:p>
    <w:p>
      <w:pPr>
        <w:pStyle w:val="13"/>
        <w:spacing w:before="6"/>
        <w:rPr>
          <w:rFonts w:ascii="Times New Roman"/>
          <w:color w:val="auto"/>
          <w:sz w:val="27"/>
        </w:rPr>
      </w:pPr>
    </w:p>
    <w:p>
      <w:pPr>
        <w:pStyle w:val="3"/>
        <w:numPr>
          <w:ilvl w:val="0"/>
          <w:numId w:val="6"/>
        </w:numPr>
        <w:ind w:left="0"/>
        <w:jc w:val="center"/>
        <w:rPr>
          <w:b/>
          <w:bCs/>
          <w:color w:val="auto"/>
          <w:sz w:val="44"/>
          <w:szCs w:val="44"/>
        </w:rPr>
      </w:pPr>
      <w:r>
        <w:rPr>
          <w:b/>
          <w:bCs/>
          <w:color w:val="auto"/>
          <w:sz w:val="44"/>
          <w:szCs w:val="44"/>
        </w:rPr>
        <w:t>工程量清单</w:t>
      </w:r>
    </w:p>
    <w:p>
      <w:pPr>
        <w:widowControl w:val="0"/>
        <w:numPr>
          <w:ilvl w:val="0"/>
          <w:numId w:val="0"/>
        </w:numPr>
        <w:autoSpaceDE w:val="0"/>
        <w:autoSpaceDN w:val="0"/>
      </w:pPr>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pStyle w:val="2"/>
      </w:pPr>
    </w:p>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1、工程量清单说明</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1.1本工程量清单是根据招标文件中包括的有合同约束力的工程量清单计量规则、图纸</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以及有关工程量清单的国家标准、行业标准、合同条款中约定的其他规则编制。约定计量</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规则中没有的子目，其工程量按照有合同约束力的图纸所标示尺寸的理论净量计算。计量</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采用中华人民共和国法定计量单位。</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1.2本工程量清单应与招标文件中的投标人须知、通用合同条款、专用合同条款、工程</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量清单计量规则、技术规范及图纸等一起阅读和理解。</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1.3工程量清单各章是第七章“技术规范”的相应章次编号的，因此，工程量清单中各</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章的工程子目的范围与计量等应与“工程量清单计量规则”“技术规范”相应章节的范</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围、计量与支付条款结合起来理解或解释。</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1.4对作业和材料的一般说明或规定，未重复写入工程量清单内，在给工程量清单各子</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目标价前，应参阅第七章“技术规范”的有关内容。</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1.5工程量清单中所列工程量的变动，丝毫不会降低或影响合同条款的效力，也不免</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除承包人按规定的标准进行施工和修复缺陷的责任。</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1.6图纸中所列的工程数量表及数量汇总表仅是提供资料，不是工程量清单的外延。当</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图纸与工程量清单所列数量不一致时，以工程量清单所列数量作为报价的依据。</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2.投标报价说明</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2.1工程量清单中的每一子目须填入单价或价格，且只允许有一个报价。</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2.2除非合同另有规定，工程量清单中有标价的单价和总额价均已包括了为实施和完成</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合同工程所需的劳务、材料、机械、质检（自检）、安装、缺陷修复、管理、保险、税费、</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利润等费用，以及合同明示或暗示的所有责任、义务和一般风险。</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2.3工程量清单中投标人没有填入单价或价格的子目，其费用视为已分摊在工程量清单</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中其他相关子目的单价或价格之中。承包人必须按监理人指令完成工程量清单中未填入单</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价或价格的子目，但不能得到结算与支付。</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2.4符合合同条款规定的全部费用应认为已被计入有标价的工程量清单所列各子目之</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中，未列子目不予计量的工作，其费用应视为已分摊在本合同工程的有关子目的单价或总</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额价之中。</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2.5承包人用于本合同工程的各类装备的提供、运输、维护、拆卸、拼装等支付的费用，</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已包括在工程量清单的单价与总额价之中。</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2.6工程量清单中各项金额均以人民币（元）结算。</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3.计日工说明</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本款不适用。</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4.其他说明</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工程量清单中各个细目的报价与计量支付原则，详见招标文件第七章技术规范的计量支</w:t>
      </w:r>
    </w:p>
    <w:p>
      <w:pPr>
        <w:keepNext w:val="0"/>
        <w:keepLines w:val="0"/>
        <w:widowControl/>
        <w:suppressLineNumbers w:val="0"/>
        <w:jc w:val="left"/>
      </w:pPr>
      <w:r>
        <w:rPr>
          <w:rFonts w:hint="eastAsia" w:ascii="宋体" w:hAnsi="宋体" w:eastAsia="宋体" w:cs="宋体"/>
          <w:color w:val="000000"/>
          <w:kern w:val="0"/>
          <w:sz w:val="24"/>
          <w:szCs w:val="24"/>
          <w:lang w:val="en-US" w:eastAsia="zh-CN" w:bidi="ar"/>
        </w:rPr>
        <w:t>付条款</w:t>
      </w:r>
    </w:p>
    <w:p>
      <w:pPr>
        <w:pStyle w:val="2"/>
        <w:sectPr>
          <w:pgSz w:w="11911" w:h="16838"/>
          <w:pgMar w:top="1247" w:right="1134" w:bottom="1247" w:left="1134" w:header="737" w:footer="850" w:gutter="0"/>
          <w:pgNumType w:fmt="numberInDash"/>
          <w:cols w:space="0" w:num="1"/>
          <w:rtlGutter w:val="0"/>
          <w:docGrid w:linePitch="0" w:charSpace="0"/>
        </w:sectPr>
      </w:pPr>
    </w:p>
    <w:p>
      <w:pPr>
        <w:rPr>
          <w:color w:val="auto"/>
        </w:rPr>
      </w:pPr>
    </w:p>
    <w:p>
      <w:pPr>
        <w:rPr>
          <w:color w:val="auto"/>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
        <w:rPr>
          <w:color w:val="auto"/>
          <w:sz w:val="28"/>
        </w:rPr>
      </w:pPr>
    </w:p>
    <w:p>
      <w:pPr>
        <w:spacing w:line="1014" w:lineRule="exact"/>
        <w:jc w:val="center"/>
        <w:rPr>
          <w:rFonts w:ascii="黑体" w:hAnsi="黑体" w:eastAsia="黑体" w:cs="黑体"/>
          <w:b/>
          <w:bCs/>
          <w:color w:val="auto"/>
          <w:sz w:val="72"/>
          <w:szCs w:val="72"/>
        </w:rPr>
      </w:pPr>
      <w:r>
        <w:rPr>
          <w:rFonts w:hint="eastAsia" w:ascii="黑体" w:hAnsi="黑体" w:eastAsia="黑体" w:cs="黑体"/>
          <w:b/>
          <w:bCs/>
          <w:color w:val="auto"/>
          <w:sz w:val="72"/>
          <w:szCs w:val="72"/>
        </w:rPr>
        <w:t>第二卷</w:t>
      </w:r>
    </w:p>
    <w:p>
      <w:pPr>
        <w:spacing w:line="1014" w:lineRule="exact"/>
        <w:jc w:val="center"/>
        <w:rPr>
          <w:color w:val="auto"/>
          <w:sz w:val="72"/>
          <w:szCs w:val="72"/>
        </w:rPr>
        <w:sectPr>
          <w:footerReference r:id="rId28" w:type="default"/>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3"/>
        <w:rPr>
          <w:color w:val="auto"/>
          <w:sz w:val="20"/>
        </w:rPr>
      </w:pPr>
    </w:p>
    <w:p>
      <w:pPr>
        <w:spacing w:before="22"/>
        <w:jc w:val="center"/>
        <w:rPr>
          <w:b/>
          <w:bCs/>
          <w:color w:val="auto"/>
          <w:sz w:val="56"/>
        </w:rPr>
      </w:pPr>
      <w:r>
        <w:rPr>
          <w:b/>
          <w:bCs/>
          <w:color w:val="auto"/>
          <w:sz w:val="44"/>
          <w:szCs w:val="44"/>
        </w:rPr>
        <w:t>第六章图纸（另册)</w:t>
      </w:r>
    </w:p>
    <w:p>
      <w:pPr>
        <w:rPr>
          <w:color w:val="auto"/>
          <w:sz w:val="56"/>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9"/>
        <w:rPr>
          <w:color w:val="auto"/>
          <w:sz w:val="23"/>
        </w:rPr>
      </w:pPr>
    </w:p>
    <w:p>
      <w:pPr>
        <w:spacing w:line="1014" w:lineRule="exact"/>
        <w:ind w:left="3194"/>
        <w:rPr>
          <w:rFonts w:ascii="黑体" w:hAnsi="黑体" w:eastAsia="黑体" w:cs="黑体"/>
          <w:b/>
          <w:bCs/>
          <w:color w:val="auto"/>
          <w:sz w:val="72"/>
          <w:szCs w:val="72"/>
        </w:rPr>
      </w:pPr>
      <w:r>
        <w:rPr>
          <w:rFonts w:hint="eastAsia" w:ascii="黑体" w:hAnsi="黑体" w:eastAsia="黑体" w:cs="黑体"/>
          <w:b/>
          <w:bCs/>
          <w:color w:val="auto"/>
          <w:sz w:val="72"/>
          <w:szCs w:val="72"/>
        </w:rPr>
        <w:t>第三卷</w:t>
      </w:r>
    </w:p>
    <w:p>
      <w:pPr>
        <w:spacing w:line="1014" w:lineRule="exact"/>
        <w:rPr>
          <w:color w:val="auto"/>
          <w:sz w:val="80"/>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3"/>
        <w:rPr>
          <w:color w:val="auto"/>
          <w:sz w:val="25"/>
        </w:rPr>
      </w:pPr>
    </w:p>
    <w:p>
      <w:pPr>
        <w:jc w:val="center"/>
        <w:rPr>
          <w:rFonts w:hint="eastAsia"/>
          <w:b/>
          <w:bCs/>
          <w:color w:val="auto"/>
          <w:sz w:val="44"/>
          <w:szCs w:val="44"/>
        </w:rPr>
      </w:pPr>
      <w:r>
        <w:rPr>
          <w:rFonts w:hint="eastAsia"/>
          <w:b/>
          <w:bCs/>
          <w:color w:val="auto"/>
          <w:sz w:val="44"/>
          <w:szCs w:val="44"/>
          <w:lang w:eastAsia="zh-CN"/>
        </w:rPr>
        <w:t>第七章</w:t>
      </w:r>
      <w:r>
        <w:rPr>
          <w:rFonts w:hint="eastAsia"/>
          <w:b/>
          <w:bCs/>
          <w:color w:val="auto"/>
          <w:sz w:val="44"/>
          <w:szCs w:val="44"/>
        </w:rPr>
        <w:t>技术规范</w:t>
      </w:r>
    </w:p>
    <w:p>
      <w:pPr>
        <w:numPr>
          <w:ilvl w:val="0"/>
          <w:numId w:val="0"/>
        </w:numPr>
        <w:jc w:val="both"/>
        <w:rPr>
          <w:rFonts w:hint="eastAsia" w:ascii="黑体" w:hAnsi="黑体" w:eastAsia="黑体" w:cs="黑体"/>
          <w:b/>
          <w:bCs/>
          <w:color w:val="auto"/>
          <w:sz w:val="44"/>
          <w:szCs w:val="44"/>
        </w:rPr>
      </w:pPr>
    </w:p>
    <w:p>
      <w:pPr>
        <w:ind w:left="457" w:right="720"/>
        <w:jc w:val="center"/>
        <w:rPr>
          <w:rFonts w:ascii="黑体" w:hAnsi="黑体" w:eastAsia="黑体" w:cs="黑体"/>
          <w:b/>
          <w:bCs/>
          <w:color w:val="auto"/>
          <w:sz w:val="44"/>
          <w:szCs w:val="44"/>
        </w:rPr>
        <w:sectPr>
          <w:pgSz w:w="11911" w:h="16838"/>
          <w:pgMar w:top="1247" w:right="1134" w:bottom="1247" w:left="1134" w:header="737" w:footer="850" w:gutter="0"/>
          <w:pgNumType w:fmt="numberInDash"/>
          <w:cols w:space="0" w:num="1"/>
          <w:rtlGutter w:val="0"/>
          <w:docGrid w:linePitch="0" w:charSpace="0"/>
        </w:sectPr>
      </w:pPr>
      <w:r>
        <w:rPr>
          <w:rFonts w:hint="eastAsia"/>
          <w:b/>
          <w:bCs/>
          <w:color w:val="auto"/>
          <w:lang w:val="en-US" w:eastAsia="zh-CN"/>
        </w:rPr>
        <w:t>本项目遵照《公路工程标准施工招标文件2018年版》及最新工程技术规范管理。</w:t>
      </w:r>
    </w:p>
    <w:p>
      <w:pPr>
        <w:pStyle w:val="13"/>
        <w:rPr>
          <w:color w:val="auto"/>
          <w:sz w:val="20"/>
        </w:rPr>
      </w:pPr>
    </w:p>
    <w:p>
      <w:pPr>
        <w:widowControl/>
        <w:ind w:firstLine="480" w:firstLineChars="200"/>
        <w:rPr>
          <w:color w:val="auto"/>
          <w:sz w:val="24"/>
          <w:szCs w:val="24"/>
          <w:lang w:val="en-US" w:bidi="ar"/>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3"/>
        <w:rPr>
          <w:color w:val="auto"/>
          <w:sz w:val="19"/>
        </w:rPr>
      </w:pPr>
    </w:p>
    <w:p>
      <w:pPr>
        <w:jc w:val="center"/>
        <w:rPr>
          <w:b/>
          <w:bCs/>
          <w:color w:val="auto"/>
          <w:sz w:val="44"/>
          <w:szCs w:val="44"/>
        </w:rPr>
      </w:pPr>
      <w:r>
        <w:rPr>
          <w:b/>
          <w:bCs/>
          <w:color w:val="auto"/>
          <w:sz w:val="44"/>
          <w:szCs w:val="44"/>
        </w:rPr>
        <w:t>第八章</w:t>
      </w:r>
      <w:r>
        <w:rPr>
          <w:b/>
          <w:bCs/>
          <w:color w:val="auto"/>
          <w:sz w:val="44"/>
          <w:szCs w:val="44"/>
        </w:rPr>
        <w:tab/>
      </w:r>
      <w:r>
        <w:rPr>
          <w:b/>
          <w:bCs/>
          <w:color w:val="auto"/>
          <w:sz w:val="44"/>
          <w:szCs w:val="44"/>
        </w:rPr>
        <w:t>工程量清单计量规则</w:t>
      </w:r>
    </w:p>
    <w:p>
      <w:pPr>
        <w:pStyle w:val="13"/>
        <w:rPr>
          <w:color w:val="auto"/>
          <w:sz w:val="54"/>
        </w:rPr>
      </w:pPr>
    </w:p>
    <w:p>
      <w:pPr>
        <w:ind w:left="457" w:right="720"/>
        <w:jc w:val="center"/>
        <w:rPr>
          <w:color w:val="auto"/>
        </w:rPr>
      </w:pPr>
      <w:r>
        <w:rPr>
          <w:color w:val="auto"/>
        </w:rPr>
        <w:t>（工程量清单计量规则具体应执行广东省交通运输主管部门现行的相关补充规定）</w:t>
      </w:r>
    </w:p>
    <w:p>
      <w:pPr>
        <w:jc w:val="center"/>
        <w:rPr>
          <w:color w:val="auto"/>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spacing w:line="1014" w:lineRule="exact"/>
        <w:ind w:left="3194"/>
        <w:rPr>
          <w:rFonts w:ascii="黑体" w:hAnsi="黑体" w:eastAsia="黑体" w:cs="黑体"/>
          <w:b/>
          <w:bCs/>
          <w:color w:val="auto"/>
          <w:sz w:val="72"/>
          <w:szCs w:val="72"/>
        </w:rPr>
      </w:pPr>
      <w:r>
        <w:rPr>
          <w:rFonts w:hint="eastAsia" w:ascii="黑体" w:hAnsi="黑体" w:eastAsia="黑体" w:cs="黑体"/>
          <w:b/>
          <w:bCs/>
          <w:color w:val="auto"/>
          <w:sz w:val="72"/>
          <w:szCs w:val="72"/>
        </w:rPr>
        <w:t>第四卷</w:t>
      </w:r>
    </w:p>
    <w:p>
      <w:pPr>
        <w:spacing w:line="1014" w:lineRule="exact"/>
        <w:rPr>
          <w:rFonts w:ascii="黑体" w:hAnsi="黑体" w:eastAsia="黑体" w:cs="黑体"/>
          <w:b/>
          <w:bCs/>
          <w:color w:val="auto"/>
          <w:sz w:val="72"/>
          <w:szCs w:val="72"/>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8"/>
        <w:rPr>
          <w:color w:val="auto"/>
          <w:sz w:val="27"/>
        </w:rPr>
      </w:pPr>
    </w:p>
    <w:p>
      <w:pPr>
        <w:jc w:val="center"/>
        <w:rPr>
          <w:b/>
          <w:bCs/>
          <w:color w:val="auto"/>
          <w:sz w:val="44"/>
          <w:szCs w:val="44"/>
        </w:rPr>
      </w:pPr>
      <w:r>
        <w:rPr>
          <w:rFonts w:hint="eastAsia"/>
          <w:b/>
          <w:bCs/>
          <w:color w:val="auto"/>
          <w:sz w:val="44"/>
          <w:szCs w:val="44"/>
        </w:rPr>
        <w:t>第九章</w:t>
      </w:r>
      <w:r>
        <w:rPr>
          <w:rFonts w:hint="eastAsia"/>
          <w:b/>
          <w:bCs/>
          <w:color w:val="auto"/>
          <w:sz w:val="44"/>
          <w:szCs w:val="44"/>
        </w:rPr>
        <w:tab/>
      </w:r>
      <w:r>
        <w:rPr>
          <w:rFonts w:hint="eastAsia"/>
          <w:b/>
          <w:bCs/>
          <w:color w:val="auto"/>
          <w:sz w:val="44"/>
          <w:szCs w:val="44"/>
        </w:rPr>
        <w:t>投标文件格式</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spacing w:before="95"/>
        <w:ind w:left="891"/>
        <w:rPr>
          <w:color w:val="auto"/>
          <w:sz w:val="18"/>
        </w:rPr>
      </w:pPr>
      <w:r>
        <w:rPr>
          <w:color w:val="auto"/>
          <w:sz w:val="18"/>
        </w:rPr>
        <w:t>。</w:t>
      </w:r>
    </w:p>
    <w:p>
      <w:pPr>
        <w:rPr>
          <w:color w:val="auto"/>
          <w:sz w:val="18"/>
        </w:rPr>
        <w:sectPr>
          <w:pgSz w:w="11911" w:h="16838"/>
          <w:pgMar w:top="1247" w:right="1134" w:bottom="1247" w:left="1134" w:header="737" w:footer="850" w:gutter="0"/>
          <w:pgNumType w:fmt="numberInDash"/>
          <w:cols w:space="0" w:num="1"/>
          <w:rtlGutter w:val="0"/>
          <w:docGrid w:linePitch="0" w:charSpace="0"/>
        </w:sectPr>
      </w:pPr>
    </w:p>
    <w:p>
      <w:pPr>
        <w:pStyle w:val="4"/>
        <w:ind w:right="2052"/>
        <w:rPr>
          <w:color w:val="auto"/>
          <w:u w:val="none"/>
        </w:rPr>
      </w:pPr>
      <w:r>
        <w:rPr>
          <w:color w:val="auto"/>
          <w:u w:val="none"/>
        </w:rPr>
        <w:t>广东省</w:t>
      </w:r>
    </w:p>
    <w:p>
      <w:pPr>
        <w:pStyle w:val="13"/>
        <w:rPr>
          <w:color w:val="auto"/>
          <w:sz w:val="20"/>
        </w:rPr>
      </w:pPr>
    </w:p>
    <w:p>
      <w:pPr>
        <w:pStyle w:val="13"/>
        <w:spacing w:before="1"/>
        <w:rPr>
          <w:color w:val="auto"/>
          <w:sz w:val="18"/>
        </w:rPr>
      </w:pPr>
    </w:p>
    <w:p>
      <w:pPr>
        <w:pStyle w:val="13"/>
        <w:spacing w:before="1"/>
        <w:rPr>
          <w:color w:val="auto"/>
          <w:sz w:val="18"/>
        </w:rPr>
      </w:pPr>
    </w:p>
    <w:p>
      <w:pPr>
        <w:pStyle w:val="13"/>
        <w:spacing w:before="1"/>
        <w:rPr>
          <w:color w:val="auto"/>
          <w:sz w:val="18"/>
        </w:rPr>
      </w:pPr>
    </w:p>
    <w:p>
      <w:pPr>
        <w:pStyle w:val="13"/>
        <w:rPr>
          <w:color w:val="auto"/>
          <w:sz w:val="44"/>
        </w:rPr>
      </w:pPr>
    </w:p>
    <w:p>
      <w:pPr>
        <w:pStyle w:val="13"/>
        <w:spacing w:before="7"/>
        <w:rPr>
          <w:color w:val="auto"/>
          <w:sz w:val="39"/>
        </w:rPr>
      </w:pPr>
    </w:p>
    <w:p>
      <w:pPr>
        <w:tabs>
          <w:tab w:val="left" w:pos="2633"/>
          <w:tab w:val="left" w:pos="4648"/>
          <w:tab w:val="left" w:pos="5578"/>
        </w:tabs>
        <w:ind w:left="440" w:leftChars="200" w:right="262"/>
        <w:jc w:val="center"/>
        <w:rPr>
          <w:rFonts w:hint="default" w:eastAsia="宋体"/>
          <w:color w:val="auto"/>
          <w:sz w:val="31"/>
          <w:lang w:val="en-US" w:eastAsia="zh-CN"/>
        </w:rPr>
      </w:pPr>
      <w:r>
        <w:rPr>
          <w:rFonts w:ascii="Times New Roman" w:eastAsia="Times New Roman"/>
          <w:color w:val="auto"/>
          <w:sz w:val="31"/>
          <w:u w:val="single"/>
        </w:rPr>
        <w:tab/>
      </w:r>
      <w:r>
        <w:rPr>
          <w:color w:val="auto"/>
          <w:sz w:val="31"/>
        </w:rPr>
        <w:t>(项目名称)</w:t>
      </w:r>
      <w:r>
        <w:rPr>
          <w:rFonts w:hint="eastAsia"/>
          <w:color w:val="auto"/>
          <w:sz w:val="31"/>
          <w:lang w:val="en-US" w:eastAsia="zh-CN"/>
        </w:rPr>
        <w:t>施工招标</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0"/>
        <w:rPr>
          <w:color w:val="auto"/>
          <w:sz w:val="27"/>
        </w:rPr>
      </w:pPr>
    </w:p>
    <w:p>
      <w:pPr>
        <w:pStyle w:val="13"/>
        <w:spacing w:before="10"/>
        <w:rPr>
          <w:color w:val="auto"/>
          <w:sz w:val="27"/>
        </w:rPr>
      </w:pPr>
    </w:p>
    <w:p>
      <w:pPr>
        <w:tabs>
          <w:tab w:val="left" w:pos="999"/>
          <w:tab w:val="left" w:pos="1999"/>
          <w:tab w:val="left" w:pos="2999"/>
        </w:tabs>
        <w:spacing w:before="30"/>
        <w:ind w:right="262"/>
        <w:jc w:val="center"/>
        <w:rPr>
          <w:b/>
          <w:bCs/>
          <w:color w:val="auto"/>
          <w:sz w:val="50"/>
        </w:rPr>
      </w:pPr>
      <w:r>
        <w:rPr>
          <w:b/>
          <w:bCs/>
          <w:color w:val="auto"/>
          <w:sz w:val="50"/>
        </w:rPr>
        <w:t>投</w:t>
      </w:r>
      <w:r>
        <w:rPr>
          <w:b/>
          <w:bCs/>
          <w:color w:val="auto"/>
          <w:sz w:val="50"/>
        </w:rPr>
        <w:tab/>
      </w:r>
      <w:r>
        <w:rPr>
          <w:b/>
          <w:bCs/>
          <w:color w:val="auto"/>
          <w:sz w:val="50"/>
        </w:rPr>
        <w:t>标</w:t>
      </w:r>
      <w:r>
        <w:rPr>
          <w:b/>
          <w:bCs/>
          <w:color w:val="auto"/>
          <w:sz w:val="50"/>
        </w:rPr>
        <w:tab/>
      </w:r>
      <w:r>
        <w:rPr>
          <w:b/>
          <w:bCs/>
          <w:color w:val="auto"/>
          <w:sz w:val="50"/>
        </w:rPr>
        <w:t>文</w:t>
      </w:r>
      <w:r>
        <w:rPr>
          <w:b/>
          <w:bCs/>
          <w:color w:val="auto"/>
          <w:sz w:val="50"/>
        </w:rPr>
        <w:tab/>
      </w:r>
      <w:r>
        <w:rPr>
          <w:b/>
          <w:bCs/>
          <w:color w:val="auto"/>
          <w:sz w:val="50"/>
        </w:rPr>
        <w:t>件</w:t>
      </w:r>
    </w:p>
    <w:p>
      <w:pPr>
        <w:spacing w:before="332"/>
        <w:ind w:left="458" w:right="720"/>
        <w:jc w:val="center"/>
        <w:rPr>
          <w:color w:val="auto"/>
          <w:sz w:val="36"/>
          <w:szCs w:val="21"/>
        </w:rPr>
      </w:pPr>
      <w:r>
        <w:rPr>
          <w:color w:val="auto"/>
          <w:sz w:val="36"/>
          <w:szCs w:val="21"/>
        </w:rPr>
        <w:t>（第一信封：商务及技术文件）</w:t>
      </w: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spacing w:before="1"/>
        <w:rPr>
          <w:color w:val="auto"/>
          <w:sz w:val="32"/>
        </w:rPr>
      </w:pPr>
    </w:p>
    <w:p>
      <w:pPr>
        <w:tabs>
          <w:tab w:val="left" w:pos="6237"/>
        </w:tabs>
        <w:spacing w:before="1"/>
        <w:ind w:left="1540" w:leftChars="700" w:right="227"/>
        <w:rPr>
          <w:color w:val="auto"/>
          <w:sz w:val="32"/>
        </w:rPr>
      </w:pPr>
      <w:r>
        <w:rPr>
          <w:color w:val="auto"/>
          <w:sz w:val="32"/>
        </w:rPr>
        <w:t>投标人：</w:t>
      </w:r>
      <w:r>
        <w:rPr>
          <w:color w:val="auto"/>
          <w:sz w:val="32"/>
          <w:u w:val="single"/>
        </w:rPr>
        <w:tab/>
      </w:r>
      <w:r>
        <w:rPr>
          <w:color w:val="auto"/>
          <w:sz w:val="32"/>
        </w:rPr>
        <w:t>（盖单位章）</w:t>
      </w:r>
    </w:p>
    <w:p>
      <w:pPr>
        <w:tabs>
          <w:tab w:val="left" w:pos="1279"/>
          <w:tab w:val="left" w:pos="2559"/>
          <w:tab w:val="left" w:pos="3838"/>
        </w:tabs>
        <w:spacing w:before="212"/>
        <w:ind w:right="47"/>
        <w:jc w:val="center"/>
        <w:rPr>
          <w:color w:val="auto"/>
          <w:sz w:val="32"/>
        </w:rPr>
      </w:pPr>
      <w:r>
        <w:rPr>
          <w:rFonts w:ascii="Times New Roman" w:eastAsia="Times New Roman"/>
          <w:color w:val="auto"/>
          <w:sz w:val="32"/>
          <w:u w:val="single"/>
        </w:rPr>
        <w:tab/>
      </w:r>
      <w:r>
        <w:rPr>
          <w:color w:val="auto"/>
          <w:sz w:val="32"/>
        </w:rPr>
        <w:t>年</w:t>
      </w:r>
      <w:r>
        <w:rPr>
          <w:color w:val="auto"/>
          <w:sz w:val="32"/>
          <w:u w:val="single"/>
        </w:rPr>
        <w:tab/>
      </w:r>
      <w:r>
        <w:rPr>
          <w:color w:val="auto"/>
          <w:sz w:val="32"/>
        </w:rPr>
        <w:t>月</w:t>
      </w:r>
      <w:r>
        <w:rPr>
          <w:color w:val="auto"/>
          <w:sz w:val="32"/>
          <w:u w:val="single"/>
        </w:rPr>
        <w:tab/>
      </w:r>
      <w:r>
        <w:rPr>
          <w:color w:val="auto"/>
          <w:sz w:val="32"/>
        </w:rPr>
        <w:t>日</w:t>
      </w:r>
    </w:p>
    <w:p>
      <w:pPr>
        <w:jc w:val="center"/>
        <w:rPr>
          <w:color w:val="auto"/>
          <w:sz w:val="32"/>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tabs>
          <w:tab w:val="left" w:pos="719"/>
        </w:tabs>
        <w:spacing w:before="216"/>
        <w:ind w:right="263"/>
        <w:jc w:val="center"/>
        <w:rPr>
          <w:b/>
          <w:bCs/>
          <w:color w:val="auto"/>
          <w:sz w:val="36"/>
        </w:rPr>
      </w:pPr>
      <w:r>
        <w:rPr>
          <w:b/>
          <w:bCs/>
          <w:color w:val="auto"/>
          <w:sz w:val="36"/>
        </w:rPr>
        <w:t>目</w:t>
      </w:r>
      <w:r>
        <w:rPr>
          <w:b/>
          <w:bCs/>
          <w:color w:val="auto"/>
          <w:sz w:val="36"/>
        </w:rPr>
        <w:tab/>
      </w:r>
      <w:r>
        <w:rPr>
          <w:b/>
          <w:bCs/>
          <w:color w:val="auto"/>
          <w:sz w:val="36"/>
        </w:rPr>
        <w:t>录</w:t>
      </w:r>
    </w:p>
    <w:p>
      <w:pPr>
        <w:spacing w:line="364" w:lineRule="auto"/>
        <w:ind w:right="636"/>
        <w:rPr>
          <w:color w:val="auto"/>
          <w:sz w:val="28"/>
        </w:rPr>
      </w:pPr>
    </w:p>
    <w:p>
      <w:pPr>
        <w:pStyle w:val="13"/>
        <w:spacing w:before="5"/>
        <w:rPr>
          <w:color w:val="auto"/>
          <w:sz w:val="42"/>
        </w:rPr>
      </w:pPr>
    </w:p>
    <w:p>
      <w:pPr>
        <w:pStyle w:val="10"/>
        <w:spacing w:line="480" w:lineRule="auto"/>
        <w:ind w:left="660" w:leftChars="300" w:right="3"/>
        <w:rPr>
          <w:color w:val="auto"/>
        </w:rPr>
      </w:pPr>
      <w:r>
        <w:rPr>
          <w:color w:val="auto"/>
        </w:rPr>
        <w:t>一、投标函及投标函附录</w:t>
      </w:r>
    </w:p>
    <w:p>
      <w:pPr>
        <w:spacing w:line="480" w:lineRule="auto"/>
        <w:ind w:left="660" w:leftChars="300" w:right="3"/>
        <w:rPr>
          <w:color w:val="auto"/>
          <w:sz w:val="24"/>
          <w:szCs w:val="24"/>
        </w:rPr>
      </w:pPr>
      <w:r>
        <w:rPr>
          <w:color w:val="auto"/>
          <w:sz w:val="24"/>
          <w:szCs w:val="24"/>
        </w:rPr>
        <w:t>二、授权委托书或法定代表人身份证明</w:t>
      </w:r>
    </w:p>
    <w:p>
      <w:pPr>
        <w:tabs>
          <w:tab w:val="left" w:pos="1760"/>
        </w:tabs>
        <w:spacing w:line="480" w:lineRule="auto"/>
        <w:ind w:left="660" w:leftChars="300" w:right="3"/>
        <w:rPr>
          <w:rFonts w:hint="eastAsia" w:eastAsia="宋体"/>
          <w:color w:val="auto"/>
          <w:sz w:val="24"/>
          <w:szCs w:val="24"/>
          <w:lang w:eastAsia="zh-CN"/>
        </w:rPr>
      </w:pPr>
      <w:r>
        <w:rPr>
          <w:rFonts w:hint="eastAsia"/>
          <w:color w:val="auto"/>
          <w:sz w:val="24"/>
          <w:szCs w:val="24"/>
          <w:lang w:val="en-US"/>
        </w:rPr>
        <w:t>三</w:t>
      </w:r>
      <w:r>
        <w:rPr>
          <w:color w:val="auto"/>
          <w:sz w:val="24"/>
          <w:szCs w:val="24"/>
        </w:rPr>
        <w:t>、投标保证金</w:t>
      </w:r>
    </w:p>
    <w:p>
      <w:pPr>
        <w:tabs>
          <w:tab w:val="left" w:pos="1760"/>
        </w:tabs>
        <w:spacing w:line="480" w:lineRule="auto"/>
        <w:ind w:left="660" w:leftChars="300" w:right="3"/>
        <w:rPr>
          <w:color w:val="auto"/>
          <w:sz w:val="24"/>
          <w:szCs w:val="24"/>
        </w:rPr>
      </w:pPr>
      <w:r>
        <w:rPr>
          <w:rFonts w:hint="eastAsia"/>
          <w:color w:val="auto"/>
          <w:sz w:val="24"/>
          <w:szCs w:val="24"/>
          <w:lang w:val="en-US"/>
        </w:rPr>
        <w:t>四</w:t>
      </w:r>
      <w:r>
        <w:rPr>
          <w:color w:val="auto"/>
          <w:sz w:val="24"/>
          <w:szCs w:val="24"/>
        </w:rPr>
        <w:t>、施工组织设计</w:t>
      </w:r>
    </w:p>
    <w:p>
      <w:pPr>
        <w:tabs>
          <w:tab w:val="left" w:pos="1760"/>
        </w:tabs>
        <w:spacing w:line="480" w:lineRule="auto"/>
        <w:ind w:left="660" w:leftChars="300" w:right="3"/>
        <w:rPr>
          <w:color w:val="auto"/>
          <w:sz w:val="24"/>
          <w:szCs w:val="24"/>
        </w:rPr>
      </w:pPr>
      <w:r>
        <w:rPr>
          <w:rFonts w:hint="eastAsia"/>
          <w:color w:val="auto"/>
          <w:sz w:val="24"/>
          <w:szCs w:val="24"/>
          <w:lang w:val="en-US"/>
        </w:rPr>
        <w:t>五</w:t>
      </w:r>
      <w:r>
        <w:rPr>
          <w:color w:val="auto"/>
          <w:sz w:val="24"/>
          <w:szCs w:val="24"/>
        </w:rPr>
        <w:t>、项目管理机构</w:t>
      </w:r>
    </w:p>
    <w:p>
      <w:pPr>
        <w:tabs>
          <w:tab w:val="left" w:pos="1760"/>
        </w:tabs>
        <w:spacing w:line="480" w:lineRule="auto"/>
        <w:ind w:left="660" w:leftChars="300" w:right="3"/>
        <w:rPr>
          <w:color w:val="auto"/>
          <w:sz w:val="24"/>
          <w:szCs w:val="24"/>
        </w:rPr>
      </w:pPr>
      <w:r>
        <w:rPr>
          <w:rFonts w:hint="eastAsia"/>
          <w:color w:val="auto"/>
          <w:sz w:val="24"/>
          <w:szCs w:val="24"/>
          <w:lang w:val="en-US" w:eastAsia="zh-CN"/>
        </w:rPr>
        <w:t>六、拟分包项目情况表</w:t>
      </w:r>
    </w:p>
    <w:p>
      <w:pPr>
        <w:tabs>
          <w:tab w:val="left" w:pos="1760"/>
        </w:tabs>
        <w:spacing w:line="480" w:lineRule="auto"/>
        <w:ind w:left="660" w:leftChars="300" w:right="3"/>
        <w:rPr>
          <w:color w:val="auto"/>
          <w:sz w:val="24"/>
          <w:szCs w:val="24"/>
        </w:rPr>
      </w:pPr>
      <w:r>
        <w:rPr>
          <w:rFonts w:hint="eastAsia"/>
          <w:color w:val="auto"/>
          <w:sz w:val="24"/>
          <w:szCs w:val="24"/>
          <w:lang w:val="en-US" w:eastAsia="zh-CN"/>
        </w:rPr>
        <w:t>七</w:t>
      </w:r>
      <w:r>
        <w:rPr>
          <w:color w:val="auto"/>
          <w:sz w:val="24"/>
          <w:szCs w:val="24"/>
        </w:rPr>
        <w:t>、资格审查资料</w:t>
      </w:r>
    </w:p>
    <w:p>
      <w:pPr>
        <w:tabs>
          <w:tab w:val="left" w:pos="1760"/>
        </w:tabs>
        <w:spacing w:line="480" w:lineRule="auto"/>
        <w:ind w:left="660" w:leftChars="300" w:right="3"/>
        <w:rPr>
          <w:color w:val="auto"/>
          <w:sz w:val="24"/>
          <w:szCs w:val="24"/>
        </w:rPr>
      </w:pPr>
      <w:r>
        <w:rPr>
          <w:rFonts w:hint="eastAsia"/>
          <w:color w:val="auto"/>
          <w:sz w:val="24"/>
          <w:szCs w:val="24"/>
          <w:lang w:val="en-US" w:eastAsia="zh-CN"/>
        </w:rPr>
        <w:t>八</w:t>
      </w:r>
      <w:r>
        <w:rPr>
          <w:color w:val="auto"/>
          <w:sz w:val="24"/>
          <w:szCs w:val="24"/>
        </w:rPr>
        <w:t>、其他材料</w:t>
      </w:r>
    </w:p>
    <w:p>
      <w:pPr>
        <w:spacing w:line="460" w:lineRule="exact"/>
        <w:ind w:left="660" w:leftChars="300"/>
        <w:jc w:val="both"/>
        <w:rPr>
          <w:color w:val="auto"/>
          <w:sz w:val="24"/>
          <w:szCs w:val="24"/>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spacing w:before="214"/>
        <w:ind w:left="2079" w:right="2340"/>
        <w:jc w:val="center"/>
        <w:rPr>
          <w:rFonts w:hint="eastAsia" w:ascii="宋体" w:hAnsi="宋体" w:eastAsia="宋体" w:cs="宋体"/>
          <w:b/>
          <w:bCs/>
          <w:color w:val="auto"/>
          <w:kern w:val="2"/>
          <w:sz w:val="30"/>
          <w:szCs w:val="30"/>
          <w:highlight w:val="none"/>
          <w:lang w:val="en-US" w:eastAsia="zh-CN" w:bidi="ar-SA"/>
        </w:rPr>
      </w:pPr>
      <w:bookmarkStart w:id="17" w:name="_Toc234382957"/>
      <w:r>
        <w:rPr>
          <w:rFonts w:hint="eastAsia" w:ascii="宋体" w:hAnsi="宋体" w:eastAsia="宋体" w:cs="宋体"/>
          <w:b/>
          <w:bCs/>
          <w:color w:val="auto"/>
          <w:kern w:val="2"/>
          <w:sz w:val="30"/>
          <w:szCs w:val="30"/>
          <w:highlight w:val="none"/>
          <w:lang w:val="en-US" w:eastAsia="zh-CN" w:bidi="ar-SA"/>
        </w:rPr>
        <w:t>一、投标函及投标函附录</w:t>
      </w:r>
      <w:bookmarkEnd w:id="17"/>
    </w:p>
    <w:p>
      <w:pPr>
        <w:jc w:val="center"/>
        <w:rPr>
          <w:rFonts w:hint="eastAsia" w:ascii="宋体" w:hAnsi="宋体" w:cs="宋体"/>
          <w:b/>
          <w:color w:val="auto"/>
          <w:sz w:val="28"/>
          <w:szCs w:val="28"/>
          <w:highlight w:val="none"/>
        </w:rPr>
      </w:pPr>
      <w:bookmarkStart w:id="18" w:name="_Toc234382958"/>
      <w:r>
        <w:rPr>
          <w:rFonts w:hint="eastAsia" w:ascii="宋体" w:hAnsi="宋体" w:cs="宋体"/>
          <w:b/>
          <w:color w:val="auto"/>
          <w:sz w:val="28"/>
          <w:szCs w:val="28"/>
          <w:highlight w:val="none"/>
        </w:rPr>
        <w:t>（一）投标函</w:t>
      </w:r>
      <w:bookmarkEnd w:id="18"/>
    </w:p>
    <w:p>
      <w:pPr>
        <w:spacing w:line="360" w:lineRule="exact"/>
        <w:rPr>
          <w:rFonts w:hint="eastAsia" w:ascii="宋体" w:hAnsi="宋体" w:cs="宋体"/>
          <w:color w:val="auto"/>
          <w:sz w:val="24"/>
          <w:highlight w:val="none"/>
        </w:rPr>
      </w:pPr>
    </w:p>
    <w:p>
      <w:pPr>
        <w:spacing w:line="360" w:lineRule="exact"/>
        <w:rPr>
          <w:rFonts w:hint="eastAsia" w:ascii="宋体" w:hAnsi="宋体" w:cs="宋体"/>
          <w:color w:val="auto"/>
          <w:sz w:val="24"/>
          <w:highlight w:val="none"/>
        </w:rPr>
      </w:pPr>
      <w:r>
        <w:rPr>
          <w:rFonts w:hint="eastAsia" w:ascii="宋体" w:hAnsi="宋体" w:cs="宋体"/>
          <w:color w:val="auto"/>
          <w:sz w:val="24"/>
          <w:highlight w:val="none"/>
        </w:rPr>
        <w:t>（招标人名称）：</w:t>
      </w:r>
    </w:p>
    <w:p>
      <w:pPr>
        <w:spacing w:line="360" w:lineRule="exact"/>
        <w:rPr>
          <w:rFonts w:hint="eastAsia" w:ascii="宋体" w:hAnsi="宋体" w:cs="宋体"/>
          <w:color w:val="auto"/>
          <w:sz w:val="24"/>
          <w:highlight w:val="none"/>
        </w:rPr>
      </w:pP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1.我方已仔细研究了</w:t>
      </w:r>
      <w:r>
        <w:rPr>
          <w:rFonts w:hint="eastAsia" w:ascii="宋体" w:hAnsi="宋体" w:cs="宋体"/>
          <w:color w:val="auto"/>
          <w:sz w:val="24"/>
          <w:highlight w:val="none"/>
          <w:u w:val="single"/>
        </w:rPr>
        <w:t>（项目名称）</w:t>
      </w:r>
      <w:r>
        <w:rPr>
          <w:rFonts w:hint="eastAsia" w:ascii="宋体" w:hAnsi="宋体" w:cs="宋体"/>
          <w:color w:val="auto"/>
          <w:sz w:val="24"/>
          <w:highlight w:val="none"/>
        </w:rPr>
        <w:t>招标文件的全部内容（含补遗书第号至第号），在考察工程现场后，愿意以第二个信封(报价文件)中的投标总报价(或根据招标文件规定修正核实后确定的另一金额)，按合同约定实施和完成承包工程，修补工程中的任何缺陷。</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2.我方承诺在招标文件规定的投标有效期内不撤销投标文件。</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3.工程质量：，安全目标：工期：日历天。</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4.如我方中标，我方承诺：</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（1）在收到中标通知书后，在中标通知书规定的期限内与你方签订合同；</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（2）在签订合同时不向你方提出附加条件；</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（3）按照招标文件要求提交履约保证金；</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rPr>
        <w:t>（4）在合同约定的期限内完成合同规定的全部义务；</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lang w:val="en-US" w:eastAsia="zh-CN"/>
        </w:rPr>
        <w:t>5.</w:t>
      </w:r>
      <w:r>
        <w:rPr>
          <w:rFonts w:hint="eastAsia" w:ascii="宋体" w:hAnsi="宋体" w:cs="宋体"/>
          <w:color w:val="auto"/>
          <w:sz w:val="24"/>
          <w:highlight w:val="none"/>
        </w:rPr>
        <w:t>我方在此声明，所递交的投标文件及有关资料内容完整、真实和准确，且不存在招标文件第二章“投标人须知”第1.4.3项规定的任何一种情形。</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lang w:val="en-US" w:eastAsia="zh-CN"/>
        </w:rPr>
        <w:t>6.</w:t>
      </w:r>
      <w:r>
        <w:rPr>
          <w:rFonts w:hint="eastAsia" w:ascii="宋体" w:hAnsi="宋体" w:cs="宋体"/>
          <w:color w:val="auto"/>
          <w:sz w:val="24"/>
          <w:highlight w:val="none"/>
        </w:rPr>
        <w:t>我方在此承诺：拟投入本项目的项目经理及项目总工无在岗项目（指目前未在其他项目上任职，或虽在其他项目上任职但本项目中标后能够从该项目撤离）,否则自愿按照招标人的有关规定接受处理。</w:t>
      </w:r>
    </w:p>
    <w:p>
      <w:pPr>
        <w:spacing w:line="360" w:lineRule="exact"/>
        <w:ind w:firstLine="480" w:firstLineChars="200"/>
        <w:rPr>
          <w:rFonts w:hint="eastAsia" w:ascii="宋体" w:hAnsi="宋体" w:cs="宋体"/>
          <w:color w:val="auto"/>
          <w:sz w:val="24"/>
          <w:highlight w:val="none"/>
        </w:rPr>
      </w:pPr>
      <w:r>
        <w:rPr>
          <w:rFonts w:hint="eastAsia" w:ascii="宋体" w:hAnsi="宋体" w:cs="宋体"/>
          <w:color w:val="auto"/>
          <w:sz w:val="24"/>
          <w:highlight w:val="none"/>
          <w:lang w:val="en-US" w:eastAsia="zh-CN"/>
        </w:rPr>
        <w:t>7.</w:t>
      </w:r>
      <w:r>
        <w:rPr>
          <w:rFonts w:hint="eastAsia" w:ascii="宋体" w:hAnsi="宋体" w:cs="宋体"/>
          <w:color w:val="auto"/>
          <w:sz w:val="24"/>
          <w:highlight w:val="none"/>
        </w:rPr>
        <w:t>在合同协议书正式签署生效之前，本投标函连同你方的中标通知书将构成我们双方之间共同遵守的文件，对双方具有约束力。</w:t>
      </w:r>
    </w:p>
    <w:p>
      <w:pPr>
        <w:pStyle w:val="31"/>
        <w:numPr>
          <w:ilvl w:val="0"/>
          <w:numId w:val="0"/>
        </w:numPr>
        <w:tabs>
          <w:tab w:val="left" w:pos="1160"/>
          <w:tab w:val="left" w:pos="6078"/>
        </w:tabs>
        <w:ind w:firstLine="480" w:firstLineChars="200"/>
        <w:rPr>
          <w:color w:val="auto"/>
          <w:sz w:val="24"/>
        </w:rPr>
      </w:pPr>
      <w:r>
        <w:rPr>
          <w:rFonts w:hint="eastAsia" w:ascii="宋体" w:hAnsi="宋体" w:eastAsia="宋体" w:cs="宋体"/>
          <w:color w:val="auto"/>
          <w:sz w:val="24"/>
          <w:szCs w:val="22"/>
          <w:highlight w:val="none"/>
          <w:lang w:val="en-US" w:eastAsia="zh-CN" w:bidi="zh-CN"/>
        </w:rPr>
        <w:t>8.</w:t>
      </w:r>
      <w:r>
        <w:rPr>
          <w:rFonts w:ascii="Times New Roman" w:eastAsia="Times New Roman"/>
          <w:color w:val="auto"/>
          <w:sz w:val="24"/>
          <w:u w:val="single"/>
        </w:rPr>
        <w:tab/>
      </w:r>
      <w:r>
        <w:rPr>
          <w:color w:val="auto"/>
          <w:sz w:val="24"/>
        </w:rPr>
        <w:t>（其他补充说明）。</w:t>
      </w:r>
    </w:p>
    <w:p>
      <w:pPr>
        <w:pStyle w:val="13"/>
        <w:rPr>
          <w:rFonts w:hint="eastAsia" w:ascii="宋体" w:hAnsi="宋体" w:cs="宋体"/>
          <w:color w:val="auto"/>
          <w:sz w:val="24"/>
          <w:highlight w:val="none"/>
        </w:rPr>
      </w:pPr>
    </w:p>
    <w:p>
      <w:pPr>
        <w:tabs>
          <w:tab w:val="left" w:pos="2977"/>
          <w:tab w:val="left" w:pos="3261"/>
        </w:tabs>
        <w:spacing w:line="360" w:lineRule="exact"/>
        <w:ind w:firstLine="3578" w:firstLineChars="1491"/>
        <w:rPr>
          <w:rFonts w:hint="eastAsia" w:ascii="宋体" w:hAnsi="宋体" w:cs="宋体"/>
          <w:color w:val="auto"/>
          <w:sz w:val="24"/>
          <w:highlight w:val="none"/>
        </w:rPr>
      </w:pPr>
      <w:r>
        <w:rPr>
          <w:rFonts w:hint="eastAsia" w:ascii="宋体" w:hAnsi="宋体" w:cs="宋体"/>
          <w:color w:val="auto"/>
          <w:sz w:val="24"/>
          <w:highlight w:val="none"/>
        </w:rPr>
        <w:t>投标人：（盖单位章）</w:t>
      </w:r>
    </w:p>
    <w:p>
      <w:pPr>
        <w:spacing w:line="360" w:lineRule="atLeast"/>
        <w:ind w:firstLine="3578" w:firstLineChars="1491"/>
        <w:rPr>
          <w:rFonts w:hint="eastAsia" w:ascii="宋体" w:hAnsi="宋体" w:cs="宋体"/>
          <w:color w:val="auto"/>
          <w:sz w:val="24"/>
          <w:highlight w:val="none"/>
        </w:rPr>
      </w:pPr>
      <w:r>
        <w:rPr>
          <w:rFonts w:hint="eastAsia" w:ascii="宋体" w:hAnsi="宋体" w:cs="宋体"/>
          <w:color w:val="auto"/>
          <w:sz w:val="24"/>
          <w:highlight w:val="none"/>
        </w:rPr>
        <w:t>法定代表人或其委托代理人：（签字）</w:t>
      </w:r>
    </w:p>
    <w:p>
      <w:pPr>
        <w:spacing w:line="360" w:lineRule="atLeast"/>
        <w:ind w:firstLine="3578" w:firstLineChars="1491"/>
        <w:rPr>
          <w:rFonts w:hint="eastAsia" w:ascii="宋体" w:hAnsi="宋体" w:eastAsia="宋体" w:cs="宋体"/>
          <w:color w:val="auto"/>
          <w:sz w:val="24"/>
          <w:highlight w:val="none"/>
          <w:lang w:eastAsia="zh-CN"/>
        </w:rPr>
      </w:pPr>
      <w:r>
        <w:rPr>
          <w:rFonts w:hint="eastAsia" w:ascii="宋体" w:hAnsi="宋体" w:cs="宋体"/>
          <w:color w:val="auto"/>
          <w:sz w:val="24"/>
          <w:highlight w:val="none"/>
        </w:rPr>
        <w:t>地址：</w:t>
      </w:r>
    </w:p>
    <w:p>
      <w:pPr>
        <w:spacing w:line="360" w:lineRule="atLeast"/>
        <w:ind w:firstLine="3578" w:firstLineChars="1491"/>
        <w:rPr>
          <w:rFonts w:hint="eastAsia" w:ascii="宋体" w:hAnsi="宋体" w:eastAsia="宋体" w:cs="宋体"/>
          <w:color w:val="auto"/>
          <w:sz w:val="24"/>
          <w:highlight w:val="none"/>
          <w:lang w:eastAsia="zh-CN"/>
        </w:rPr>
      </w:pPr>
      <w:r>
        <w:rPr>
          <w:rFonts w:hint="eastAsia" w:ascii="宋体" w:hAnsi="宋体" w:cs="宋体"/>
          <w:color w:val="auto"/>
          <w:sz w:val="24"/>
          <w:highlight w:val="none"/>
        </w:rPr>
        <w:t>网址：</w:t>
      </w:r>
    </w:p>
    <w:p>
      <w:pPr>
        <w:spacing w:line="360" w:lineRule="atLeast"/>
        <w:ind w:firstLine="3578" w:firstLineChars="1491"/>
        <w:rPr>
          <w:rFonts w:hint="eastAsia" w:ascii="宋体" w:hAnsi="宋体" w:eastAsia="宋体" w:cs="宋体"/>
          <w:color w:val="auto"/>
          <w:sz w:val="24"/>
          <w:highlight w:val="none"/>
          <w:lang w:eastAsia="zh-CN"/>
        </w:rPr>
      </w:pPr>
      <w:r>
        <w:rPr>
          <w:rFonts w:hint="eastAsia" w:ascii="宋体" w:hAnsi="宋体" w:cs="宋体"/>
          <w:color w:val="auto"/>
          <w:sz w:val="24"/>
          <w:highlight w:val="none"/>
        </w:rPr>
        <w:t>电话：</w:t>
      </w:r>
    </w:p>
    <w:p>
      <w:pPr>
        <w:spacing w:line="360" w:lineRule="exact"/>
        <w:ind w:firstLine="3578" w:firstLineChars="1491"/>
        <w:rPr>
          <w:rFonts w:hint="eastAsia" w:ascii="宋体" w:hAnsi="宋体" w:eastAsia="宋体" w:cs="宋体"/>
          <w:color w:val="auto"/>
          <w:sz w:val="24"/>
          <w:highlight w:val="none"/>
          <w:lang w:eastAsia="zh-CN"/>
        </w:rPr>
      </w:pPr>
      <w:r>
        <w:rPr>
          <w:rFonts w:hint="eastAsia" w:ascii="宋体" w:hAnsi="宋体" w:cs="宋体"/>
          <w:color w:val="auto"/>
          <w:sz w:val="24"/>
          <w:highlight w:val="none"/>
        </w:rPr>
        <w:t>传真：</w:t>
      </w:r>
    </w:p>
    <w:p>
      <w:pPr>
        <w:spacing w:line="360" w:lineRule="exact"/>
        <w:ind w:firstLine="3578" w:firstLineChars="1491"/>
        <w:rPr>
          <w:rFonts w:hint="eastAsia" w:ascii="宋体" w:hAnsi="宋体" w:eastAsia="宋体" w:cs="宋体"/>
          <w:color w:val="auto"/>
          <w:sz w:val="24"/>
          <w:highlight w:val="none"/>
          <w:lang w:eastAsia="zh-CN"/>
        </w:rPr>
      </w:pPr>
      <w:r>
        <w:rPr>
          <w:rFonts w:hint="eastAsia" w:ascii="宋体" w:hAnsi="宋体" w:cs="宋体"/>
          <w:color w:val="auto"/>
          <w:sz w:val="24"/>
          <w:highlight w:val="none"/>
        </w:rPr>
        <w:t>邮政编码：</w:t>
      </w:r>
    </w:p>
    <w:p>
      <w:pPr>
        <w:spacing w:line="360" w:lineRule="exact"/>
        <w:ind w:firstLine="3578" w:firstLineChars="1491"/>
        <w:rPr>
          <w:rFonts w:hint="eastAsia" w:ascii="宋体" w:hAnsi="宋体" w:cs="宋体"/>
          <w:color w:val="auto"/>
          <w:sz w:val="24"/>
          <w:highlight w:val="none"/>
        </w:rPr>
      </w:pPr>
    </w:p>
    <w:p>
      <w:pPr>
        <w:pStyle w:val="13"/>
        <w:ind w:firstLine="6720" w:firstLineChars="2800"/>
        <w:rPr>
          <w:color w:val="auto"/>
        </w:rPr>
      </w:pPr>
      <w:r>
        <w:rPr>
          <w:rFonts w:hint="eastAsia" w:ascii="宋体" w:hAnsi="宋体" w:cs="宋体"/>
          <w:color w:val="auto"/>
          <w:sz w:val="24"/>
          <w:highlight w:val="none"/>
        </w:rPr>
        <w:t>年月日</w:t>
      </w:r>
    </w:p>
    <w:p>
      <w:pPr>
        <w:spacing w:before="133"/>
        <w:ind w:left="2079" w:right="2343"/>
        <w:jc w:val="center"/>
        <w:rPr>
          <w:color w:val="auto"/>
          <w:sz w:val="28"/>
        </w:rPr>
      </w:pPr>
    </w:p>
    <w:p>
      <w:pPr>
        <w:spacing w:before="133"/>
        <w:ind w:left="2079" w:right="2343"/>
        <w:jc w:val="center"/>
        <w:rPr>
          <w:color w:val="auto"/>
          <w:sz w:val="28"/>
        </w:rPr>
      </w:pPr>
    </w:p>
    <w:p>
      <w:pPr>
        <w:rPr>
          <w:rFonts w:hint="eastAsia" w:ascii="宋体" w:hAnsi="宋体" w:cs="宋体"/>
          <w:b/>
          <w:color w:val="auto"/>
          <w:sz w:val="28"/>
          <w:szCs w:val="28"/>
          <w:highlight w:val="none"/>
        </w:rPr>
      </w:pPr>
      <w:r>
        <w:rPr>
          <w:rFonts w:hint="eastAsia" w:ascii="宋体" w:hAnsi="宋体" w:cs="宋体"/>
          <w:b/>
          <w:color w:val="auto"/>
          <w:sz w:val="28"/>
          <w:szCs w:val="28"/>
          <w:highlight w:val="none"/>
        </w:rPr>
        <w:br w:type="page"/>
      </w:r>
    </w:p>
    <w:p>
      <w:pPr>
        <w:jc w:val="center"/>
        <w:rPr>
          <w:rFonts w:hint="eastAsia" w:ascii="宋体" w:hAnsi="宋体" w:cs="宋体"/>
          <w:b/>
          <w:color w:val="auto"/>
          <w:sz w:val="28"/>
          <w:szCs w:val="28"/>
          <w:highlight w:val="none"/>
        </w:rPr>
      </w:pPr>
    </w:p>
    <w:p>
      <w:pPr>
        <w:jc w:val="center"/>
        <w:rPr>
          <w:rFonts w:hint="eastAsia" w:ascii="宋体" w:hAnsi="宋体" w:cs="宋体"/>
          <w:b/>
          <w:color w:val="auto"/>
          <w:sz w:val="28"/>
          <w:szCs w:val="28"/>
          <w:highlight w:val="none"/>
        </w:rPr>
      </w:pPr>
    </w:p>
    <w:p>
      <w:pPr>
        <w:jc w:val="center"/>
        <w:rPr>
          <w:rFonts w:hint="eastAsia" w:ascii="宋体" w:hAnsi="宋体" w:cs="宋体"/>
          <w:b/>
          <w:color w:val="auto"/>
          <w:sz w:val="28"/>
          <w:szCs w:val="28"/>
          <w:highlight w:val="none"/>
        </w:rPr>
      </w:pPr>
      <w:r>
        <w:rPr>
          <w:rFonts w:hint="eastAsia" w:ascii="宋体" w:hAnsi="宋体" w:cs="宋体"/>
          <w:b/>
          <w:color w:val="auto"/>
          <w:sz w:val="28"/>
          <w:szCs w:val="28"/>
          <w:highlight w:val="none"/>
        </w:rPr>
        <w:t>（二）投标函附录</w:t>
      </w:r>
    </w:p>
    <w:p>
      <w:pPr>
        <w:pStyle w:val="29"/>
        <w:rPr>
          <w:rFonts w:hint="eastAsia"/>
          <w:color w:val="auto"/>
        </w:rPr>
      </w:pPr>
    </w:p>
    <w:p>
      <w:pPr>
        <w:pStyle w:val="29"/>
        <w:rPr>
          <w:rFonts w:hint="eastAsia"/>
          <w:color w:val="auto"/>
        </w:rPr>
      </w:pPr>
    </w:p>
    <w:tbl>
      <w:tblPr>
        <w:tblStyle w:val="25"/>
        <w:tblW w:w="0" w:type="auto"/>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801"/>
        <w:gridCol w:w="2655"/>
        <w:gridCol w:w="1515"/>
        <w:gridCol w:w="3826"/>
        <w:gridCol w:w="88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91" w:hRule="atLeast"/>
          <w:jc w:val="center"/>
        </w:trPr>
        <w:tc>
          <w:tcPr>
            <w:tcW w:w="801" w:type="dxa"/>
            <w:noWrap w:val="0"/>
            <w:vAlign w:val="center"/>
          </w:tcPr>
          <w:p>
            <w:pPr>
              <w:jc w:val="center"/>
              <w:rPr>
                <w:rFonts w:hint="eastAsia" w:ascii="宋体" w:hAnsi="宋体" w:cs="宋体"/>
                <w:b/>
                <w:color w:val="auto"/>
                <w:sz w:val="24"/>
                <w:highlight w:val="none"/>
              </w:rPr>
            </w:pPr>
            <w:r>
              <w:rPr>
                <w:rFonts w:hint="eastAsia" w:ascii="宋体" w:hAnsi="宋体" w:cs="宋体"/>
                <w:b/>
                <w:color w:val="auto"/>
                <w:sz w:val="24"/>
                <w:highlight w:val="none"/>
              </w:rPr>
              <w:t>序号</w:t>
            </w:r>
          </w:p>
        </w:tc>
        <w:tc>
          <w:tcPr>
            <w:tcW w:w="2655" w:type="dxa"/>
            <w:noWrap w:val="0"/>
            <w:vAlign w:val="center"/>
          </w:tcPr>
          <w:p>
            <w:pPr>
              <w:jc w:val="center"/>
              <w:rPr>
                <w:rFonts w:hint="eastAsia" w:ascii="宋体" w:hAnsi="宋体" w:cs="宋体"/>
                <w:b/>
                <w:color w:val="auto"/>
                <w:sz w:val="24"/>
                <w:highlight w:val="none"/>
              </w:rPr>
            </w:pPr>
            <w:r>
              <w:rPr>
                <w:rFonts w:hint="eastAsia" w:ascii="宋体" w:hAnsi="宋体" w:cs="宋体"/>
                <w:b/>
                <w:color w:val="auto"/>
                <w:sz w:val="24"/>
                <w:highlight w:val="none"/>
              </w:rPr>
              <w:t>条款名称</w:t>
            </w:r>
          </w:p>
        </w:tc>
        <w:tc>
          <w:tcPr>
            <w:tcW w:w="1515" w:type="dxa"/>
            <w:noWrap w:val="0"/>
            <w:vAlign w:val="center"/>
          </w:tcPr>
          <w:p>
            <w:pPr>
              <w:jc w:val="center"/>
              <w:rPr>
                <w:rFonts w:hint="eastAsia" w:ascii="宋体" w:hAnsi="宋体" w:cs="宋体"/>
                <w:b/>
                <w:color w:val="auto"/>
                <w:sz w:val="24"/>
                <w:highlight w:val="none"/>
              </w:rPr>
            </w:pPr>
            <w:r>
              <w:rPr>
                <w:rFonts w:hint="eastAsia" w:ascii="宋体" w:hAnsi="宋体" w:cs="宋体"/>
                <w:b/>
                <w:color w:val="auto"/>
                <w:sz w:val="24"/>
                <w:highlight w:val="none"/>
              </w:rPr>
              <w:t>合同条目号</w:t>
            </w:r>
          </w:p>
        </w:tc>
        <w:tc>
          <w:tcPr>
            <w:tcW w:w="3826" w:type="dxa"/>
            <w:noWrap w:val="0"/>
            <w:vAlign w:val="center"/>
          </w:tcPr>
          <w:p>
            <w:pPr>
              <w:jc w:val="center"/>
              <w:rPr>
                <w:rFonts w:hint="eastAsia" w:ascii="宋体" w:hAnsi="宋体" w:cs="宋体"/>
                <w:b/>
                <w:color w:val="auto"/>
                <w:sz w:val="24"/>
                <w:highlight w:val="none"/>
              </w:rPr>
            </w:pPr>
            <w:r>
              <w:rPr>
                <w:rFonts w:hint="eastAsia" w:ascii="宋体" w:hAnsi="宋体" w:cs="宋体"/>
                <w:b/>
                <w:color w:val="auto"/>
                <w:sz w:val="24"/>
                <w:highlight w:val="none"/>
              </w:rPr>
              <w:t>约定内容</w:t>
            </w:r>
          </w:p>
        </w:tc>
        <w:tc>
          <w:tcPr>
            <w:tcW w:w="880" w:type="dxa"/>
            <w:noWrap w:val="0"/>
            <w:vAlign w:val="center"/>
          </w:tcPr>
          <w:p>
            <w:pPr>
              <w:jc w:val="center"/>
              <w:rPr>
                <w:rFonts w:hint="eastAsia" w:ascii="宋体" w:hAnsi="宋体" w:cs="宋体"/>
                <w:b/>
                <w:color w:val="auto"/>
                <w:sz w:val="24"/>
                <w:highlight w:val="none"/>
              </w:rPr>
            </w:pPr>
            <w:r>
              <w:rPr>
                <w:rFonts w:hint="eastAsia" w:ascii="宋体" w:hAnsi="宋体" w:cs="宋体"/>
                <w:b/>
                <w:color w:val="auto"/>
                <w:sz w:val="24"/>
                <w:highlight w:val="none"/>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6" w:hRule="atLeast"/>
          <w:jc w:val="center"/>
        </w:trPr>
        <w:tc>
          <w:tcPr>
            <w:tcW w:w="801"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缺陷责任期</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1.1.4.5</w:t>
            </w:r>
          </w:p>
        </w:tc>
        <w:tc>
          <w:tcPr>
            <w:tcW w:w="3826" w:type="dxa"/>
            <w:noWrap w:val="0"/>
            <w:vAlign w:val="center"/>
          </w:tcPr>
          <w:p>
            <w:pPr>
              <w:rPr>
                <w:rFonts w:hint="eastAsia" w:ascii="宋体" w:hAnsi="宋体" w:cs="宋体"/>
                <w:color w:val="auto"/>
                <w:sz w:val="24"/>
                <w:highlight w:val="none"/>
              </w:rPr>
            </w:pPr>
            <w:r>
              <w:rPr>
                <w:rFonts w:hint="eastAsia" w:ascii="宋体" w:hAnsi="宋体" w:cs="宋体"/>
                <w:color w:val="auto"/>
                <w:sz w:val="24"/>
                <w:highlight w:val="none"/>
              </w:rPr>
              <w:t>自实际交工日期起计算</w:t>
            </w:r>
            <w:r>
              <w:rPr>
                <w:rFonts w:hint="eastAsia" w:cs="宋体"/>
                <w:color w:val="auto"/>
                <w:sz w:val="24"/>
                <w:highlight w:val="none"/>
                <w:u w:val="single"/>
                <w:lang w:val="en-US" w:eastAsia="zh-CN"/>
              </w:rPr>
              <w:t>2</w:t>
            </w:r>
            <w:r>
              <w:rPr>
                <w:rFonts w:hint="eastAsia" w:ascii="宋体" w:hAnsi="宋体" w:cs="宋体"/>
                <w:color w:val="auto"/>
                <w:sz w:val="24"/>
                <w:highlight w:val="none"/>
              </w:rPr>
              <w:t>年</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863"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2</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价格调整的差额计算</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16.1.1</w:t>
            </w:r>
          </w:p>
        </w:tc>
        <w:tc>
          <w:tcPr>
            <w:tcW w:w="3826" w:type="dxa"/>
            <w:noWrap w:val="0"/>
            <w:vAlign w:val="center"/>
          </w:tcPr>
          <w:p>
            <w:pPr>
              <w:spacing w:line="400" w:lineRule="exact"/>
              <w:rPr>
                <w:rFonts w:hint="eastAsia" w:ascii="宋体" w:hAnsi="宋体" w:cs="宋体"/>
                <w:color w:val="auto"/>
                <w:sz w:val="24"/>
                <w:highlight w:val="none"/>
              </w:rPr>
            </w:pPr>
            <w:r>
              <w:rPr>
                <w:rFonts w:hint="eastAsia" w:ascii="宋体" w:hAnsi="宋体" w:cs="宋体"/>
                <w:color w:val="auto"/>
                <w:sz w:val="24"/>
                <w:highlight w:val="none"/>
              </w:rPr>
              <w:t>□因物价波动引起的价格调整按照</w:t>
            </w:r>
            <w:r>
              <w:rPr>
                <w:rFonts w:hint="eastAsia" w:ascii="宋体" w:hAnsi="宋体" w:cs="宋体"/>
                <w:color w:val="auto"/>
                <w:sz w:val="24"/>
                <w:highlight w:val="none"/>
                <w:u w:val="single"/>
              </w:rPr>
              <w:t>第16.1.1或16.1.2项</w:t>
            </w:r>
            <w:r>
              <w:rPr>
                <w:rFonts w:hint="eastAsia" w:ascii="宋体" w:hAnsi="宋体" w:cs="宋体"/>
                <w:color w:val="auto"/>
                <w:sz w:val="24"/>
                <w:highlight w:val="none"/>
              </w:rPr>
              <w:t>约定的原则处理</w:t>
            </w:r>
          </w:p>
          <w:p>
            <w:pPr>
              <w:spacing w:line="320" w:lineRule="exact"/>
              <w:rPr>
                <w:rFonts w:hint="eastAsia" w:ascii="宋体" w:hAnsi="宋体" w:cs="宋体"/>
                <w:color w:val="auto"/>
                <w:sz w:val="24"/>
                <w:highlight w:val="none"/>
              </w:rPr>
            </w:pPr>
            <w:r>
              <w:rPr>
                <w:rFonts w:hint="eastAsia" w:ascii="宋体" w:hAnsi="宋体" w:cs="宋体"/>
                <w:color w:val="auto"/>
                <w:sz w:val="24"/>
                <w:highlight w:val="none"/>
              </w:rPr>
              <w:t>☑合同期内不调价</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6"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3</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开工预付款金额</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17.2.1</w:t>
            </w:r>
          </w:p>
        </w:tc>
        <w:tc>
          <w:tcPr>
            <w:tcW w:w="3826" w:type="dxa"/>
            <w:noWrap w:val="0"/>
            <w:vAlign w:val="center"/>
          </w:tcPr>
          <w:p>
            <w:pPr>
              <w:ind w:firstLine="28" w:firstLineChars="12"/>
              <w:rPr>
                <w:rFonts w:hint="eastAsia" w:ascii="宋体" w:hAnsi="宋体" w:cs="宋体"/>
                <w:color w:val="auto"/>
                <w:sz w:val="24"/>
                <w:highlight w:val="none"/>
              </w:rPr>
            </w:pPr>
            <w:r>
              <w:rPr>
                <w:rFonts w:hint="eastAsia" w:ascii="宋体" w:hAnsi="宋体" w:cs="宋体"/>
                <w:color w:val="auto"/>
                <w:sz w:val="24"/>
                <w:highlight w:val="none"/>
                <w:u w:val="single"/>
              </w:rPr>
              <w:t>30</w:t>
            </w:r>
            <w:r>
              <w:rPr>
                <w:rFonts w:hint="eastAsia" w:ascii="宋体" w:hAnsi="宋体" w:cs="宋体"/>
                <w:color w:val="auto"/>
                <w:sz w:val="24"/>
                <w:highlight w:val="none"/>
              </w:rPr>
              <w:t>%签约合同价</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6"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4</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进度付款证书最低限额</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17.3.3(1)</w:t>
            </w:r>
          </w:p>
        </w:tc>
        <w:tc>
          <w:tcPr>
            <w:tcW w:w="3826" w:type="dxa"/>
            <w:noWrap w:val="0"/>
            <w:vAlign w:val="center"/>
          </w:tcPr>
          <w:p>
            <w:pPr>
              <w:rPr>
                <w:rFonts w:hint="eastAsia" w:ascii="宋体" w:hAnsi="宋体" w:cs="宋体"/>
                <w:color w:val="auto"/>
                <w:sz w:val="24"/>
                <w:highlight w:val="none"/>
              </w:rPr>
            </w:pPr>
            <w:r>
              <w:rPr>
                <w:rFonts w:hint="eastAsia" w:ascii="宋体" w:hAnsi="宋体" w:cs="宋体"/>
                <w:color w:val="auto"/>
                <w:sz w:val="24"/>
                <w:highlight w:val="none"/>
                <w:u w:val="single"/>
              </w:rPr>
              <w:t>50</w:t>
            </w:r>
            <w:r>
              <w:rPr>
                <w:rFonts w:hint="eastAsia" w:ascii="宋体" w:hAnsi="宋体" w:cs="宋体"/>
                <w:color w:val="auto"/>
                <w:sz w:val="24"/>
                <w:highlight w:val="none"/>
              </w:rPr>
              <w:t>万元</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6"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5</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逾期付款违约金的利率</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17.3.3(2)</w:t>
            </w:r>
          </w:p>
        </w:tc>
        <w:tc>
          <w:tcPr>
            <w:tcW w:w="3826" w:type="dxa"/>
            <w:noWrap w:val="0"/>
            <w:vAlign w:val="center"/>
          </w:tcPr>
          <w:p>
            <w:pPr>
              <w:ind w:firstLine="240" w:firstLineChars="100"/>
              <w:rPr>
                <w:rFonts w:hint="eastAsia" w:ascii="宋体" w:hAnsi="宋体" w:cs="宋体"/>
                <w:color w:val="auto"/>
                <w:sz w:val="24"/>
                <w:highlight w:val="none"/>
              </w:rPr>
            </w:pPr>
            <w:r>
              <w:rPr>
                <w:rFonts w:hint="eastAsia" w:ascii="宋体" w:hAnsi="宋体" w:cs="宋体"/>
                <w:color w:val="auto"/>
                <w:sz w:val="24"/>
                <w:highlight w:val="none"/>
                <w:u w:val="single"/>
              </w:rPr>
              <w:t>/</w:t>
            </w:r>
            <w:r>
              <w:rPr>
                <w:rFonts w:hint="eastAsia" w:ascii="宋体" w:hAnsi="宋体" w:cs="宋体"/>
                <w:color w:val="auto"/>
                <w:sz w:val="24"/>
                <w:highlight w:val="none"/>
              </w:rPr>
              <w:t>‰/天</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096"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6</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质量保证金金额</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17.4.1</w:t>
            </w:r>
          </w:p>
        </w:tc>
        <w:tc>
          <w:tcPr>
            <w:tcW w:w="3826" w:type="dxa"/>
            <w:noWrap w:val="0"/>
            <w:vAlign w:val="center"/>
          </w:tcPr>
          <w:p>
            <w:pPr>
              <w:ind w:firstLine="28" w:firstLineChars="12"/>
              <w:rPr>
                <w:rFonts w:hint="eastAsia" w:ascii="宋体" w:hAnsi="宋体" w:cs="宋体"/>
                <w:color w:val="auto"/>
                <w:sz w:val="24"/>
                <w:highlight w:val="none"/>
              </w:rPr>
            </w:pPr>
            <w:r>
              <w:rPr>
                <w:rFonts w:hint="eastAsia" w:ascii="宋体" w:hAnsi="宋体" w:cs="宋体"/>
                <w:color w:val="auto"/>
                <w:sz w:val="24"/>
                <w:highlight w:val="none"/>
              </w:rPr>
              <w:t>质量保证金限额：</w:t>
            </w:r>
            <w:r>
              <w:rPr>
                <w:rFonts w:hint="eastAsia" w:ascii="宋体" w:hAnsi="宋体" w:cs="宋体"/>
                <w:color w:val="auto"/>
                <w:sz w:val="24"/>
                <w:highlight w:val="none"/>
                <w:u w:val="single"/>
                <w:lang w:val="en-US"/>
              </w:rPr>
              <w:t>3</w:t>
            </w:r>
            <w:r>
              <w:rPr>
                <w:rFonts w:hint="eastAsia" w:ascii="宋体" w:hAnsi="宋体" w:cs="宋体"/>
                <w:color w:val="auto"/>
                <w:sz w:val="24"/>
                <w:highlight w:val="none"/>
              </w:rPr>
              <w:t>%合同价格</w:t>
            </w:r>
          </w:p>
        </w:tc>
        <w:tc>
          <w:tcPr>
            <w:tcW w:w="880" w:type="dxa"/>
            <w:noWrap w:val="0"/>
            <w:vAlign w:val="center"/>
          </w:tcPr>
          <w:p>
            <w:pPr>
              <w:jc w:val="center"/>
              <w:rPr>
                <w:rFonts w:hint="eastAsia" w:ascii="宋体" w:hAnsi="宋体" w:cs="宋体"/>
                <w:color w:val="auto"/>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42" w:hRule="atLeast"/>
          <w:jc w:val="center"/>
        </w:trPr>
        <w:tc>
          <w:tcPr>
            <w:tcW w:w="801" w:type="dxa"/>
            <w:noWrap w:val="0"/>
            <w:vAlign w:val="center"/>
          </w:tcPr>
          <w:p>
            <w:pPr>
              <w:jc w:val="center"/>
              <w:rPr>
                <w:rFonts w:hint="eastAsia" w:ascii="宋体" w:hAnsi="宋体" w:eastAsia="宋体" w:cs="宋体"/>
                <w:color w:val="auto"/>
                <w:sz w:val="24"/>
                <w:highlight w:val="none"/>
                <w:lang w:eastAsia="zh-CN"/>
              </w:rPr>
            </w:pPr>
            <w:r>
              <w:rPr>
                <w:rFonts w:hint="eastAsia" w:cs="宋体"/>
                <w:color w:val="auto"/>
                <w:sz w:val="24"/>
                <w:highlight w:val="none"/>
                <w:lang w:val="en-US" w:eastAsia="zh-CN"/>
              </w:rPr>
              <w:t>7</w:t>
            </w:r>
          </w:p>
        </w:tc>
        <w:tc>
          <w:tcPr>
            <w:tcW w:w="265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保修期</w:t>
            </w:r>
          </w:p>
        </w:tc>
        <w:tc>
          <w:tcPr>
            <w:tcW w:w="1515" w:type="dxa"/>
            <w:noWrap w:val="0"/>
            <w:vAlign w:val="center"/>
          </w:tcPr>
          <w:p>
            <w:pPr>
              <w:jc w:val="center"/>
              <w:rPr>
                <w:rFonts w:hint="eastAsia" w:ascii="宋体" w:hAnsi="宋体" w:cs="宋体"/>
                <w:color w:val="auto"/>
                <w:sz w:val="24"/>
                <w:highlight w:val="none"/>
              </w:rPr>
            </w:pPr>
            <w:r>
              <w:rPr>
                <w:rFonts w:hint="eastAsia" w:ascii="宋体" w:hAnsi="宋体" w:cs="宋体"/>
                <w:color w:val="auto"/>
                <w:sz w:val="24"/>
                <w:highlight w:val="none"/>
              </w:rPr>
              <w:t>19.7</w:t>
            </w:r>
          </w:p>
        </w:tc>
        <w:tc>
          <w:tcPr>
            <w:tcW w:w="3826" w:type="dxa"/>
            <w:noWrap w:val="0"/>
            <w:vAlign w:val="center"/>
          </w:tcPr>
          <w:p>
            <w:pPr>
              <w:rPr>
                <w:rFonts w:hint="eastAsia" w:ascii="宋体" w:hAnsi="宋体" w:cs="宋体"/>
                <w:color w:val="auto"/>
                <w:sz w:val="24"/>
                <w:highlight w:val="none"/>
              </w:rPr>
            </w:pPr>
            <w:r>
              <w:rPr>
                <w:rFonts w:hint="eastAsia" w:ascii="宋体" w:hAnsi="宋体" w:cs="宋体"/>
                <w:color w:val="auto"/>
                <w:sz w:val="24"/>
                <w:highlight w:val="none"/>
              </w:rPr>
              <w:t>自实际交工日期起计算</w:t>
            </w:r>
            <w:r>
              <w:rPr>
                <w:rFonts w:hint="eastAsia" w:cs="宋体"/>
                <w:color w:val="auto"/>
                <w:sz w:val="24"/>
                <w:highlight w:val="none"/>
                <w:u w:val="single"/>
                <w:lang w:val="en-US" w:eastAsia="zh-CN"/>
              </w:rPr>
              <w:t>5</w:t>
            </w:r>
            <w:r>
              <w:rPr>
                <w:rFonts w:hint="eastAsia" w:ascii="宋体" w:hAnsi="宋体" w:cs="宋体"/>
                <w:color w:val="auto"/>
                <w:sz w:val="24"/>
                <w:highlight w:val="none"/>
              </w:rPr>
              <w:t>年</w:t>
            </w:r>
          </w:p>
        </w:tc>
        <w:tc>
          <w:tcPr>
            <w:tcW w:w="880" w:type="dxa"/>
            <w:noWrap w:val="0"/>
            <w:vAlign w:val="center"/>
          </w:tcPr>
          <w:p>
            <w:pPr>
              <w:jc w:val="center"/>
              <w:rPr>
                <w:rFonts w:hint="eastAsia" w:ascii="宋体" w:hAnsi="宋体" w:cs="宋体"/>
                <w:color w:val="auto"/>
                <w:sz w:val="24"/>
                <w:highlight w:val="none"/>
              </w:rPr>
            </w:pPr>
          </w:p>
        </w:tc>
      </w:tr>
    </w:tbl>
    <w:p>
      <w:pPr>
        <w:pStyle w:val="13"/>
        <w:tabs>
          <w:tab w:val="left" w:pos="6422"/>
        </w:tabs>
        <w:spacing w:before="71"/>
        <w:ind w:left="3274"/>
        <w:rPr>
          <w:color w:val="auto"/>
        </w:rPr>
      </w:pPr>
    </w:p>
    <w:p>
      <w:pPr>
        <w:pStyle w:val="13"/>
        <w:tabs>
          <w:tab w:val="left" w:pos="6422"/>
        </w:tabs>
        <w:spacing w:before="71"/>
        <w:ind w:left="3274"/>
        <w:rPr>
          <w:color w:val="auto"/>
        </w:rPr>
      </w:pPr>
    </w:p>
    <w:p>
      <w:pPr>
        <w:pStyle w:val="13"/>
        <w:tabs>
          <w:tab w:val="left" w:pos="6422"/>
        </w:tabs>
        <w:spacing w:before="71"/>
        <w:ind w:left="3274"/>
        <w:rPr>
          <w:color w:val="auto"/>
        </w:rPr>
      </w:pPr>
    </w:p>
    <w:p>
      <w:pPr>
        <w:pStyle w:val="13"/>
        <w:tabs>
          <w:tab w:val="left" w:pos="6422"/>
        </w:tabs>
        <w:spacing w:before="71"/>
        <w:ind w:left="3274"/>
        <w:rPr>
          <w:color w:val="auto"/>
        </w:rPr>
      </w:pPr>
    </w:p>
    <w:p>
      <w:pPr>
        <w:rPr>
          <w:rFonts w:hint="eastAsia" w:ascii="宋体" w:hAnsi="宋体" w:eastAsia="宋体" w:cs="宋体"/>
          <w:b/>
          <w:bCs/>
          <w:color w:val="auto"/>
          <w:kern w:val="2"/>
          <w:sz w:val="30"/>
          <w:szCs w:val="30"/>
          <w:highlight w:val="none"/>
          <w:lang w:val="en-US" w:eastAsia="zh-CN" w:bidi="ar-SA"/>
        </w:rPr>
      </w:pPr>
      <w:r>
        <w:rPr>
          <w:rFonts w:hint="eastAsia" w:ascii="宋体" w:hAnsi="宋体" w:eastAsia="宋体" w:cs="宋体"/>
          <w:b/>
          <w:bCs/>
          <w:color w:val="auto"/>
          <w:kern w:val="2"/>
          <w:sz w:val="30"/>
          <w:szCs w:val="30"/>
          <w:highlight w:val="none"/>
          <w:lang w:val="en-US" w:eastAsia="zh-CN" w:bidi="ar-SA"/>
        </w:rPr>
        <w:br w:type="page"/>
      </w:r>
    </w:p>
    <w:p>
      <w:pPr>
        <w:spacing w:before="214"/>
        <w:ind w:left="2079" w:right="2340"/>
        <w:jc w:val="center"/>
        <w:rPr>
          <w:rFonts w:hint="eastAsia" w:ascii="宋体" w:hAnsi="宋体" w:eastAsia="宋体" w:cs="宋体"/>
          <w:b/>
          <w:bCs/>
          <w:color w:val="auto"/>
          <w:kern w:val="2"/>
          <w:sz w:val="30"/>
          <w:szCs w:val="30"/>
          <w:highlight w:val="none"/>
          <w:lang w:val="en-US" w:eastAsia="zh-CN" w:bidi="ar-SA"/>
        </w:rPr>
      </w:pPr>
    </w:p>
    <w:p>
      <w:pPr>
        <w:spacing w:before="214"/>
        <w:ind w:left="2079" w:right="2340"/>
        <w:jc w:val="center"/>
        <w:rPr>
          <w:rFonts w:hint="eastAsia" w:ascii="宋体" w:hAnsi="宋体" w:eastAsia="宋体" w:cs="宋体"/>
          <w:b/>
          <w:bCs/>
          <w:color w:val="auto"/>
          <w:kern w:val="2"/>
          <w:sz w:val="30"/>
          <w:szCs w:val="30"/>
          <w:highlight w:val="none"/>
          <w:lang w:val="en-US" w:eastAsia="zh-CN" w:bidi="ar-SA"/>
        </w:rPr>
      </w:pPr>
      <w:r>
        <w:rPr>
          <w:rFonts w:hint="eastAsia" w:ascii="宋体" w:hAnsi="宋体" w:eastAsia="宋体" w:cs="宋体"/>
          <w:b/>
          <w:bCs/>
          <w:color w:val="auto"/>
          <w:kern w:val="2"/>
          <w:sz w:val="30"/>
          <w:szCs w:val="30"/>
          <w:highlight w:val="none"/>
          <w:lang w:val="en-US" w:eastAsia="zh-CN" w:bidi="ar-SA"/>
        </w:rPr>
        <w:t>二、授权委托书或法定代表人身份证明</w:t>
      </w:r>
    </w:p>
    <w:p>
      <w:pPr>
        <w:pStyle w:val="13"/>
        <w:spacing w:before="9"/>
        <w:rPr>
          <w:color w:val="auto"/>
          <w:sz w:val="23"/>
        </w:rPr>
      </w:pPr>
    </w:p>
    <w:p>
      <w:pPr>
        <w:spacing w:before="1"/>
        <w:ind w:left="2079" w:right="2341"/>
        <w:jc w:val="center"/>
        <w:rPr>
          <w:color w:val="auto"/>
          <w:sz w:val="16"/>
        </w:rPr>
      </w:pPr>
      <w:r>
        <w:rPr>
          <w:b/>
          <w:bCs/>
          <w:color w:val="auto"/>
          <w:sz w:val="28"/>
        </w:rPr>
        <w:t>（一）授权委托书</w:t>
      </w:r>
      <w:r>
        <w:rPr>
          <w:color w:val="auto"/>
          <w:position w:val="16"/>
          <w:sz w:val="16"/>
        </w:rPr>
        <w:t>1</w:t>
      </w:r>
    </w:p>
    <w:p>
      <w:pPr>
        <w:pStyle w:val="13"/>
        <w:rPr>
          <w:color w:val="auto"/>
          <w:sz w:val="34"/>
        </w:rPr>
      </w:pPr>
    </w:p>
    <w:p>
      <w:pPr>
        <w:tabs>
          <w:tab w:val="left" w:pos="2219"/>
          <w:tab w:val="left" w:pos="4239"/>
          <w:tab w:val="left" w:pos="9023"/>
        </w:tabs>
        <w:spacing w:before="240" w:line="360" w:lineRule="auto"/>
        <w:ind w:firstLine="480" w:firstLineChars="200"/>
        <w:rPr>
          <w:rFonts w:hint="eastAsia" w:eastAsia="宋体"/>
          <w:color w:val="auto"/>
          <w:sz w:val="24"/>
          <w:u w:val="single"/>
          <w:lang w:val="en-US" w:eastAsia="zh-CN"/>
        </w:rPr>
      </w:pPr>
      <w:r>
        <w:rPr>
          <w:color w:val="auto"/>
          <w:sz w:val="24"/>
        </w:rPr>
        <w:t>本人（姓名）系</w:t>
      </w:r>
      <w:r>
        <w:rPr>
          <w:color w:val="auto"/>
          <w:sz w:val="24"/>
          <w:u w:val="single"/>
        </w:rPr>
        <w:tab/>
      </w:r>
      <w:r>
        <w:rPr>
          <w:color w:val="auto"/>
          <w:sz w:val="24"/>
        </w:rPr>
        <w:t>（投标人名称）的法定代表人，现委托</w:t>
      </w:r>
      <w:r>
        <w:rPr>
          <w:color w:val="auto"/>
          <w:sz w:val="24"/>
          <w:u w:val="single"/>
        </w:rPr>
        <w:tab/>
      </w:r>
    </w:p>
    <w:p>
      <w:pPr>
        <w:tabs>
          <w:tab w:val="left" w:pos="2219"/>
          <w:tab w:val="left" w:pos="4239"/>
          <w:tab w:val="left" w:pos="9023"/>
        </w:tabs>
        <w:spacing w:before="240" w:line="360" w:lineRule="auto"/>
        <w:rPr>
          <w:color w:val="auto"/>
          <w:sz w:val="24"/>
        </w:rPr>
      </w:pPr>
      <w:r>
        <w:rPr>
          <w:color w:val="auto"/>
          <w:sz w:val="24"/>
        </w:rPr>
        <w:t>（姓名）为我方代理人。代理人根据授权，以我方名义签署、澄清确认、递交、撤回</w:t>
      </w:r>
      <w:r>
        <w:rPr>
          <w:color w:val="auto"/>
          <w:spacing w:val="-19"/>
          <w:sz w:val="24"/>
        </w:rPr>
        <w:t>、</w:t>
      </w:r>
      <w:r>
        <w:rPr>
          <w:color w:val="auto"/>
          <w:sz w:val="24"/>
        </w:rPr>
        <w:t>修改</w:t>
      </w:r>
      <w:r>
        <w:rPr>
          <w:color w:val="auto"/>
          <w:sz w:val="24"/>
          <w:u w:val="single"/>
        </w:rPr>
        <w:tab/>
      </w:r>
      <w:r>
        <w:rPr>
          <w:color w:val="auto"/>
          <w:sz w:val="24"/>
        </w:rPr>
        <w:t>（项目名称）施工投标文件、签订合同和处理有关事宜，其法律后果由我方承担。</w:t>
      </w:r>
    </w:p>
    <w:p>
      <w:pPr>
        <w:spacing w:before="191" w:line="391" w:lineRule="auto"/>
        <w:ind w:left="918" w:right="-37" w:rightChars="0"/>
        <w:rPr>
          <w:color w:val="auto"/>
          <w:sz w:val="24"/>
        </w:rPr>
      </w:pPr>
      <w:r>
        <w:rPr>
          <w:color w:val="auto"/>
          <w:sz w:val="24"/>
        </w:rPr>
        <w:t>委托期限：自本委托书签署之日起至投标有效期期满。</w:t>
      </w:r>
    </w:p>
    <w:p>
      <w:pPr>
        <w:spacing w:before="191" w:line="391" w:lineRule="auto"/>
        <w:ind w:left="918" w:right="-37" w:rightChars="0"/>
        <w:rPr>
          <w:color w:val="auto"/>
          <w:sz w:val="24"/>
        </w:rPr>
      </w:pPr>
      <w:r>
        <w:rPr>
          <w:color w:val="auto"/>
          <w:sz w:val="24"/>
        </w:rPr>
        <w:t>代理人无转委托权。</w:t>
      </w:r>
    </w:p>
    <w:p>
      <w:pPr>
        <w:pStyle w:val="13"/>
        <w:rPr>
          <w:color w:val="auto"/>
          <w:sz w:val="24"/>
        </w:rPr>
      </w:pPr>
    </w:p>
    <w:p>
      <w:pPr>
        <w:spacing w:before="190"/>
        <w:ind w:left="918"/>
        <w:rPr>
          <w:color w:val="auto"/>
          <w:sz w:val="24"/>
        </w:rPr>
      </w:pPr>
      <w:r>
        <w:rPr>
          <w:color w:val="auto"/>
          <w:sz w:val="24"/>
        </w:rPr>
        <w:t>附：法定代表人身份证复印件及委托代理人身份证复印件。</w:t>
      </w:r>
    </w:p>
    <w:p>
      <w:pPr>
        <w:pStyle w:val="13"/>
        <w:rPr>
          <w:color w:val="auto"/>
          <w:sz w:val="24"/>
        </w:rPr>
      </w:pPr>
    </w:p>
    <w:p>
      <w:pPr>
        <w:pStyle w:val="13"/>
        <w:spacing w:before="10"/>
        <w:rPr>
          <w:color w:val="auto"/>
          <w:sz w:val="17"/>
        </w:rPr>
      </w:pPr>
    </w:p>
    <w:p>
      <w:pPr>
        <w:tabs>
          <w:tab w:val="left" w:pos="7518"/>
        </w:tabs>
        <w:ind w:left="4278"/>
        <w:rPr>
          <w:color w:val="auto"/>
          <w:sz w:val="24"/>
        </w:rPr>
      </w:pPr>
      <w:r>
        <w:rPr>
          <w:color w:val="auto"/>
          <w:sz w:val="24"/>
        </w:rPr>
        <w:t>投标人：</w:t>
      </w:r>
      <w:r>
        <w:rPr>
          <w:color w:val="auto"/>
          <w:sz w:val="24"/>
          <w:u w:val="single"/>
        </w:rPr>
        <w:tab/>
      </w:r>
      <w:r>
        <w:rPr>
          <w:color w:val="auto"/>
          <w:sz w:val="24"/>
        </w:rPr>
        <w:t>（盖单位章）</w:t>
      </w:r>
    </w:p>
    <w:p>
      <w:pPr>
        <w:pStyle w:val="13"/>
        <w:spacing w:before="9"/>
        <w:rPr>
          <w:color w:val="auto"/>
          <w:sz w:val="18"/>
        </w:rPr>
      </w:pPr>
    </w:p>
    <w:p>
      <w:pPr>
        <w:tabs>
          <w:tab w:val="left" w:pos="8118"/>
        </w:tabs>
        <w:spacing w:before="75"/>
        <w:ind w:left="4278"/>
        <w:rPr>
          <w:color w:val="auto"/>
          <w:sz w:val="24"/>
        </w:rPr>
      </w:pPr>
      <w:r>
        <w:rPr>
          <w:color w:val="auto"/>
          <w:sz w:val="24"/>
        </w:rPr>
        <w:t>法定代表人：</w:t>
      </w:r>
      <w:r>
        <w:rPr>
          <w:color w:val="auto"/>
          <w:sz w:val="24"/>
          <w:u w:val="single"/>
        </w:rPr>
        <w:tab/>
      </w:r>
      <w:r>
        <w:rPr>
          <w:color w:val="auto"/>
          <w:sz w:val="24"/>
        </w:rPr>
        <w:t>（签字）</w:t>
      </w:r>
    </w:p>
    <w:p>
      <w:pPr>
        <w:pStyle w:val="13"/>
        <w:spacing w:before="10"/>
        <w:rPr>
          <w:color w:val="auto"/>
          <w:sz w:val="18"/>
        </w:rPr>
      </w:pPr>
    </w:p>
    <w:p>
      <w:pPr>
        <w:tabs>
          <w:tab w:val="left" w:pos="8958"/>
        </w:tabs>
        <w:spacing w:before="74"/>
        <w:ind w:left="4278"/>
        <w:rPr>
          <w:rFonts w:ascii="Times New Roman" w:eastAsia="Times New Roman"/>
          <w:color w:val="auto"/>
          <w:sz w:val="24"/>
        </w:rPr>
      </w:pPr>
      <w:r>
        <w:rPr>
          <w:color w:val="auto"/>
          <w:sz w:val="24"/>
        </w:rPr>
        <w:t>身份证号码：</w:t>
      </w:r>
      <w:r>
        <w:rPr>
          <w:rFonts w:ascii="Times New Roman" w:eastAsia="Times New Roman"/>
          <w:color w:val="auto"/>
          <w:sz w:val="24"/>
          <w:u w:val="single"/>
        </w:rPr>
        <w:tab/>
      </w:r>
    </w:p>
    <w:p>
      <w:pPr>
        <w:pStyle w:val="13"/>
        <w:rPr>
          <w:rFonts w:ascii="Times New Roman"/>
          <w:color w:val="auto"/>
        </w:rPr>
      </w:pPr>
    </w:p>
    <w:p>
      <w:pPr>
        <w:tabs>
          <w:tab w:val="left" w:pos="8118"/>
        </w:tabs>
        <w:spacing w:before="74"/>
        <w:ind w:left="4278"/>
        <w:rPr>
          <w:color w:val="auto"/>
          <w:sz w:val="24"/>
        </w:rPr>
      </w:pPr>
      <w:r>
        <w:rPr>
          <w:color w:val="auto"/>
          <w:sz w:val="24"/>
        </w:rPr>
        <w:t>委托代理人：</w:t>
      </w:r>
      <w:r>
        <w:rPr>
          <w:color w:val="auto"/>
          <w:sz w:val="24"/>
          <w:u w:val="single"/>
        </w:rPr>
        <w:tab/>
      </w:r>
      <w:r>
        <w:rPr>
          <w:color w:val="auto"/>
          <w:sz w:val="24"/>
        </w:rPr>
        <w:t>（签字）</w:t>
      </w:r>
    </w:p>
    <w:p>
      <w:pPr>
        <w:pStyle w:val="13"/>
        <w:spacing w:before="11"/>
        <w:rPr>
          <w:color w:val="auto"/>
          <w:sz w:val="18"/>
        </w:rPr>
      </w:pPr>
    </w:p>
    <w:p>
      <w:pPr>
        <w:tabs>
          <w:tab w:val="left" w:pos="8958"/>
        </w:tabs>
        <w:spacing w:before="74"/>
        <w:ind w:left="4278"/>
        <w:rPr>
          <w:rFonts w:ascii="Times New Roman" w:eastAsia="Times New Roman"/>
          <w:color w:val="auto"/>
          <w:sz w:val="24"/>
        </w:rPr>
      </w:pPr>
      <w:r>
        <w:rPr>
          <w:color w:val="auto"/>
          <w:sz w:val="24"/>
        </w:rPr>
        <w:t>身份证号码：</w:t>
      </w:r>
      <w:r>
        <w:rPr>
          <w:rFonts w:ascii="Times New Roman" w:eastAsia="Times New Roman"/>
          <w:color w:val="auto"/>
          <w:sz w:val="24"/>
          <w:u w:val="single"/>
        </w:rPr>
        <w:tab/>
      </w:r>
    </w:p>
    <w:p>
      <w:pPr>
        <w:pStyle w:val="13"/>
        <w:spacing w:before="10"/>
        <w:rPr>
          <w:rFonts w:ascii="Times New Roman"/>
          <w:color w:val="auto"/>
          <w:sz w:val="20"/>
        </w:rPr>
      </w:pPr>
    </w:p>
    <w:p>
      <w:pPr>
        <w:tabs>
          <w:tab w:val="left" w:pos="6798"/>
          <w:tab w:val="left" w:pos="7518"/>
          <w:tab w:val="left" w:pos="8238"/>
        </w:tabs>
        <w:spacing w:before="74"/>
        <w:ind w:left="5958"/>
        <w:rPr>
          <w:color w:val="auto"/>
          <w:sz w:val="24"/>
        </w:rPr>
      </w:pPr>
      <w:r>
        <w:rPr>
          <w:rFonts w:ascii="Times New Roman" w:eastAsia="Times New Roman"/>
          <w:color w:val="auto"/>
          <w:sz w:val="24"/>
          <w:u w:val="single"/>
        </w:rPr>
        <w:tab/>
      </w:r>
      <w:r>
        <w:rPr>
          <w:color w:val="auto"/>
          <w:sz w:val="24"/>
        </w:rPr>
        <w:t>年</w:t>
      </w:r>
      <w:r>
        <w:rPr>
          <w:color w:val="auto"/>
          <w:sz w:val="24"/>
          <w:u w:val="single"/>
        </w:rPr>
        <w:tab/>
      </w:r>
      <w:r>
        <w:rPr>
          <w:color w:val="auto"/>
          <w:sz w:val="24"/>
        </w:rPr>
        <w:t>月</w:t>
      </w:r>
      <w:r>
        <w:rPr>
          <w:color w:val="auto"/>
          <w:sz w:val="24"/>
          <w:u w:val="single"/>
        </w:rPr>
        <w:tab/>
      </w:r>
      <w:r>
        <w:rPr>
          <w:color w:val="auto"/>
          <w:sz w:val="24"/>
        </w:rPr>
        <w:t>日</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0"/>
        <w:rPr>
          <w:color w:val="auto"/>
          <w:sz w:val="22"/>
        </w:rPr>
      </w:pPr>
    </w:p>
    <w:p>
      <w:pPr>
        <w:pStyle w:val="13"/>
        <w:spacing w:before="10"/>
        <w:rPr>
          <w:color w:val="auto"/>
          <w:sz w:val="22"/>
        </w:rPr>
      </w:pPr>
    </w:p>
    <w:p>
      <w:pPr>
        <w:spacing w:before="67"/>
        <w:ind w:firstLine="187" w:firstLineChars="91"/>
        <w:rPr>
          <w:rFonts w:hint="default" w:eastAsia="宋体"/>
          <w:color w:val="auto"/>
          <w:spacing w:val="-2"/>
          <w:sz w:val="21"/>
          <w:szCs w:val="21"/>
          <w:lang w:val="en-US" w:eastAsia="zh-CN"/>
        </w:rPr>
      </w:pPr>
    </w:p>
    <w:p>
      <w:pPr>
        <w:pStyle w:val="13"/>
        <w:rPr>
          <w:color w:val="auto"/>
        </w:rPr>
      </w:pPr>
    </w:p>
    <w:p>
      <w:pPr>
        <w:rPr>
          <w:color w:val="auto"/>
        </w:rPr>
      </w:pPr>
    </w:p>
    <w:p>
      <w:pPr>
        <w:spacing w:before="111"/>
        <w:rPr>
          <w:color w:val="auto"/>
          <w:sz w:val="18"/>
        </w:rPr>
      </w:pPr>
      <w:r>
        <w:rPr>
          <w:color w:val="auto"/>
          <w:position w:val="9"/>
          <w:sz w:val="9"/>
        </w:rPr>
        <w:t>1</w:t>
      </w:r>
      <w:r>
        <w:rPr>
          <w:color w:val="auto"/>
          <w:sz w:val="18"/>
        </w:rPr>
        <w:t>如果由投标人的法定代表人签署投标文件，则不需提交授权委托书。</w:t>
      </w:r>
    </w:p>
    <w:p>
      <w:pPr>
        <w:rPr>
          <w:color w:val="auto"/>
          <w:sz w:val="18"/>
        </w:rPr>
      </w:pPr>
    </w:p>
    <w:p>
      <w:pPr>
        <w:pStyle w:val="13"/>
        <w:rPr>
          <w:color w:val="auto"/>
          <w:sz w:val="20"/>
        </w:rPr>
      </w:pPr>
    </w:p>
    <w:p>
      <w:pPr>
        <w:rPr>
          <w:rFonts w:hint="eastAsia" w:ascii="宋体" w:hAnsi="宋体" w:eastAsia="宋体" w:cs="宋体"/>
          <w:b/>
          <w:bCs/>
          <w:color w:val="auto"/>
          <w:kern w:val="2"/>
          <w:sz w:val="28"/>
          <w:szCs w:val="28"/>
          <w:highlight w:val="none"/>
          <w:lang w:val="en-US" w:eastAsia="zh-CN" w:bidi="ar-SA"/>
        </w:rPr>
      </w:pPr>
      <w:r>
        <w:rPr>
          <w:rFonts w:hint="eastAsia" w:ascii="宋体" w:hAnsi="宋体" w:eastAsia="宋体" w:cs="宋体"/>
          <w:b/>
          <w:bCs/>
          <w:color w:val="auto"/>
          <w:kern w:val="2"/>
          <w:sz w:val="28"/>
          <w:szCs w:val="28"/>
          <w:highlight w:val="none"/>
          <w:lang w:val="en-US" w:eastAsia="zh-CN" w:bidi="ar-SA"/>
        </w:rPr>
        <w:br w:type="page"/>
      </w:r>
    </w:p>
    <w:p>
      <w:pPr>
        <w:spacing w:before="214"/>
        <w:ind w:left="2079" w:right="2340"/>
        <w:jc w:val="center"/>
        <w:rPr>
          <w:rFonts w:hint="eastAsia" w:ascii="宋体" w:hAnsi="宋体" w:eastAsia="宋体" w:cs="宋体"/>
          <w:b/>
          <w:bCs/>
          <w:color w:val="auto"/>
          <w:kern w:val="2"/>
          <w:sz w:val="28"/>
          <w:szCs w:val="28"/>
          <w:highlight w:val="none"/>
          <w:lang w:val="en-US" w:eastAsia="zh-CN" w:bidi="ar-SA"/>
        </w:rPr>
      </w:pPr>
    </w:p>
    <w:p>
      <w:pPr>
        <w:spacing w:before="214"/>
        <w:ind w:left="2079" w:right="2340"/>
        <w:jc w:val="center"/>
        <w:rPr>
          <w:rFonts w:hint="eastAsia" w:ascii="宋体" w:hAnsi="宋体" w:eastAsia="宋体" w:cs="宋体"/>
          <w:b/>
          <w:bCs/>
          <w:color w:val="auto"/>
          <w:kern w:val="2"/>
          <w:sz w:val="28"/>
          <w:szCs w:val="28"/>
          <w:highlight w:val="none"/>
          <w:lang w:val="en-US" w:eastAsia="zh-CN" w:bidi="ar-SA"/>
        </w:rPr>
      </w:pPr>
      <w:r>
        <w:rPr>
          <w:rFonts w:hint="eastAsia" w:ascii="宋体" w:hAnsi="宋体" w:eastAsia="宋体" w:cs="宋体"/>
          <w:b/>
          <w:bCs/>
          <w:color w:val="auto"/>
          <w:kern w:val="2"/>
          <w:sz w:val="28"/>
          <w:szCs w:val="28"/>
          <w:highlight w:val="none"/>
          <w:lang w:val="en-US" w:eastAsia="zh-CN" w:bidi="ar-SA"/>
        </w:rPr>
        <w:t>（二）法定代表人身份证明</w:t>
      </w:r>
    </w:p>
    <w:p>
      <w:pPr>
        <w:pStyle w:val="13"/>
        <w:rPr>
          <w:color w:val="auto"/>
          <w:sz w:val="28"/>
        </w:rPr>
      </w:pPr>
    </w:p>
    <w:p>
      <w:pPr>
        <w:pStyle w:val="13"/>
        <w:rPr>
          <w:color w:val="auto"/>
          <w:sz w:val="28"/>
        </w:rPr>
      </w:pPr>
    </w:p>
    <w:p>
      <w:pPr>
        <w:pStyle w:val="13"/>
        <w:spacing w:before="7"/>
        <w:rPr>
          <w:color w:val="auto"/>
          <w:sz w:val="32"/>
        </w:rPr>
      </w:pPr>
    </w:p>
    <w:p>
      <w:pPr>
        <w:pStyle w:val="10"/>
        <w:tabs>
          <w:tab w:val="left" w:pos="4758"/>
        </w:tabs>
        <w:spacing w:line="360" w:lineRule="auto"/>
        <w:rPr>
          <w:rFonts w:ascii="Times New Roman" w:eastAsia="Times New Roman"/>
          <w:color w:val="auto"/>
        </w:rPr>
      </w:pPr>
      <w:r>
        <w:rPr>
          <w:color w:val="auto"/>
        </w:rPr>
        <w:t>投标人名称：</w:t>
      </w:r>
      <w:r>
        <w:rPr>
          <w:rFonts w:ascii="Times New Roman" w:eastAsia="Times New Roman"/>
          <w:color w:val="auto"/>
          <w:u w:val="single"/>
        </w:rPr>
        <w:tab/>
      </w:r>
    </w:p>
    <w:p>
      <w:pPr>
        <w:pStyle w:val="13"/>
        <w:spacing w:before="4" w:line="360" w:lineRule="auto"/>
        <w:rPr>
          <w:rFonts w:ascii="Times New Roman"/>
          <w:color w:val="auto"/>
          <w:sz w:val="10"/>
        </w:rPr>
      </w:pPr>
    </w:p>
    <w:p>
      <w:pPr>
        <w:tabs>
          <w:tab w:val="left" w:pos="4278"/>
          <w:tab w:val="left" w:pos="5718"/>
          <w:tab w:val="left" w:pos="5958"/>
          <w:tab w:val="left" w:pos="7398"/>
          <w:tab w:val="left" w:pos="7638"/>
          <w:tab w:val="left" w:pos="9318"/>
        </w:tabs>
        <w:spacing w:before="74" w:line="360" w:lineRule="auto"/>
        <w:ind w:left="438"/>
        <w:rPr>
          <w:rFonts w:ascii="Times New Roman" w:eastAsia="Times New Roman"/>
          <w:color w:val="auto"/>
          <w:sz w:val="24"/>
        </w:rPr>
      </w:pPr>
      <w:r>
        <w:rPr>
          <w:color w:val="auto"/>
          <w:sz w:val="24"/>
        </w:rPr>
        <w:t>姓名：</w:t>
      </w:r>
      <w:r>
        <w:rPr>
          <w:color w:val="auto"/>
          <w:sz w:val="24"/>
          <w:u w:val="single"/>
        </w:rPr>
        <w:t>（法定代表人亲笔签名）</w:t>
      </w:r>
      <w:r>
        <w:rPr>
          <w:color w:val="auto"/>
          <w:sz w:val="24"/>
        </w:rPr>
        <w:tab/>
      </w:r>
      <w:r>
        <w:rPr>
          <w:color w:val="auto"/>
          <w:sz w:val="24"/>
        </w:rPr>
        <w:t>性别：</w:t>
      </w:r>
      <w:r>
        <w:rPr>
          <w:color w:val="auto"/>
          <w:sz w:val="24"/>
          <w:u w:val="single"/>
        </w:rPr>
        <w:tab/>
      </w:r>
      <w:r>
        <w:rPr>
          <w:color w:val="auto"/>
          <w:sz w:val="24"/>
        </w:rPr>
        <w:tab/>
      </w:r>
      <w:r>
        <w:rPr>
          <w:color w:val="auto"/>
          <w:sz w:val="24"/>
        </w:rPr>
        <w:t>年龄：</w:t>
      </w:r>
      <w:r>
        <w:rPr>
          <w:color w:val="auto"/>
          <w:sz w:val="24"/>
          <w:u w:val="single"/>
        </w:rPr>
        <w:tab/>
      </w:r>
      <w:r>
        <w:rPr>
          <w:color w:val="auto"/>
          <w:sz w:val="24"/>
        </w:rPr>
        <w:tab/>
      </w:r>
      <w:r>
        <w:rPr>
          <w:color w:val="auto"/>
          <w:sz w:val="24"/>
        </w:rPr>
        <w:t>职务：</w:t>
      </w:r>
      <w:r>
        <w:rPr>
          <w:rFonts w:ascii="Times New Roman" w:eastAsia="Times New Roman"/>
          <w:color w:val="auto"/>
          <w:sz w:val="24"/>
          <w:u w:val="single"/>
        </w:rPr>
        <w:tab/>
      </w:r>
    </w:p>
    <w:p>
      <w:pPr>
        <w:pStyle w:val="13"/>
        <w:spacing w:before="4" w:line="360" w:lineRule="auto"/>
        <w:rPr>
          <w:rFonts w:ascii="Times New Roman"/>
          <w:color w:val="auto"/>
          <w:sz w:val="10"/>
        </w:rPr>
      </w:pPr>
    </w:p>
    <w:p>
      <w:pPr>
        <w:tabs>
          <w:tab w:val="left" w:pos="2958"/>
        </w:tabs>
        <w:spacing w:before="74" w:line="360" w:lineRule="auto"/>
        <w:ind w:left="438"/>
        <w:rPr>
          <w:color w:val="auto"/>
          <w:sz w:val="24"/>
        </w:rPr>
      </w:pPr>
      <w:r>
        <w:rPr>
          <w:color w:val="auto"/>
          <w:sz w:val="24"/>
        </w:rPr>
        <w:t>系</w:t>
      </w:r>
      <w:r>
        <w:rPr>
          <w:color w:val="auto"/>
          <w:sz w:val="24"/>
          <w:u w:val="single"/>
        </w:rPr>
        <w:tab/>
      </w:r>
      <w:r>
        <w:rPr>
          <w:color w:val="auto"/>
          <w:sz w:val="24"/>
        </w:rPr>
        <w:t>（投标人名称）的法定代表人。</w:t>
      </w:r>
    </w:p>
    <w:p>
      <w:pPr>
        <w:pStyle w:val="13"/>
        <w:spacing w:before="10" w:line="360" w:lineRule="auto"/>
        <w:rPr>
          <w:color w:val="auto"/>
          <w:sz w:val="9"/>
        </w:rPr>
      </w:pPr>
    </w:p>
    <w:p>
      <w:pPr>
        <w:spacing w:before="66" w:line="360" w:lineRule="auto"/>
        <w:ind w:left="918"/>
        <w:rPr>
          <w:color w:val="auto"/>
          <w:sz w:val="24"/>
        </w:rPr>
      </w:pPr>
      <w:r>
        <w:rPr>
          <w:color w:val="auto"/>
          <w:sz w:val="24"/>
        </w:rPr>
        <w:t>特此证明。</w:t>
      </w:r>
    </w:p>
    <w:p>
      <w:pPr>
        <w:pStyle w:val="13"/>
        <w:rPr>
          <w:color w:val="auto"/>
          <w:sz w:val="24"/>
        </w:rPr>
      </w:pPr>
    </w:p>
    <w:p>
      <w:pPr>
        <w:pStyle w:val="13"/>
        <w:spacing w:before="1"/>
        <w:rPr>
          <w:color w:val="auto"/>
          <w:sz w:val="30"/>
        </w:rPr>
      </w:pPr>
    </w:p>
    <w:p>
      <w:pPr>
        <w:ind w:left="918"/>
        <w:rPr>
          <w:color w:val="auto"/>
          <w:sz w:val="24"/>
        </w:rPr>
      </w:pPr>
      <w:r>
        <w:rPr>
          <w:color w:val="auto"/>
          <w:sz w:val="24"/>
        </w:rPr>
        <w:t>附：法定代表人身份证复印件。</w:t>
      </w:r>
    </w:p>
    <w:p>
      <w:pPr>
        <w:pStyle w:val="13"/>
        <w:rPr>
          <w:color w:val="auto"/>
          <w:sz w:val="20"/>
        </w:rPr>
      </w:pPr>
    </w:p>
    <w:p>
      <w:pPr>
        <w:pStyle w:val="13"/>
        <w:spacing w:before="3"/>
        <w:rPr>
          <w:color w:val="auto"/>
          <w:sz w:val="28"/>
        </w:rPr>
      </w:pPr>
    </w:p>
    <w:p>
      <w:pPr>
        <w:pStyle w:val="13"/>
        <w:spacing w:before="3"/>
        <w:rPr>
          <w:color w:val="auto"/>
          <w:sz w:val="28"/>
        </w:rPr>
      </w:pPr>
    </w:p>
    <w:p>
      <w:pPr>
        <w:pStyle w:val="13"/>
        <w:spacing w:before="3"/>
        <w:rPr>
          <w:color w:val="auto"/>
          <w:sz w:val="28"/>
        </w:rPr>
      </w:pPr>
    </w:p>
    <w:p>
      <w:pPr>
        <w:tabs>
          <w:tab w:val="left" w:pos="6918"/>
        </w:tabs>
        <w:spacing w:before="75"/>
        <w:ind w:left="4398"/>
        <w:rPr>
          <w:color w:val="auto"/>
          <w:sz w:val="24"/>
        </w:rPr>
      </w:pPr>
      <w:r>
        <w:rPr>
          <w:color w:val="auto"/>
          <w:sz w:val="24"/>
        </w:rPr>
        <w:t>投标人：</w:t>
      </w:r>
      <w:r>
        <w:rPr>
          <w:color w:val="auto"/>
          <w:sz w:val="24"/>
          <w:u w:val="single"/>
        </w:rPr>
        <w:tab/>
      </w:r>
      <w:r>
        <w:rPr>
          <w:color w:val="auto"/>
          <w:sz w:val="24"/>
        </w:rPr>
        <w:t>（盖单位章）</w:t>
      </w:r>
    </w:p>
    <w:p>
      <w:pPr>
        <w:tabs>
          <w:tab w:val="left" w:pos="6558"/>
          <w:tab w:val="left" w:pos="7278"/>
          <w:tab w:val="left" w:pos="7998"/>
        </w:tabs>
        <w:spacing w:before="113"/>
        <w:ind w:left="5598"/>
        <w:rPr>
          <w:color w:val="auto"/>
          <w:sz w:val="24"/>
        </w:rPr>
      </w:pPr>
      <w:r>
        <w:rPr>
          <w:rFonts w:ascii="Times New Roman" w:eastAsia="Times New Roman"/>
          <w:color w:val="auto"/>
          <w:sz w:val="24"/>
          <w:u w:val="single"/>
        </w:rPr>
        <w:tab/>
      </w:r>
      <w:r>
        <w:rPr>
          <w:color w:val="auto"/>
          <w:sz w:val="24"/>
        </w:rPr>
        <w:t>年</w:t>
      </w:r>
      <w:r>
        <w:rPr>
          <w:color w:val="auto"/>
          <w:sz w:val="24"/>
          <w:u w:val="single"/>
        </w:rPr>
        <w:tab/>
      </w:r>
      <w:r>
        <w:rPr>
          <w:color w:val="auto"/>
          <w:sz w:val="24"/>
        </w:rPr>
        <w:t>月</w:t>
      </w:r>
      <w:r>
        <w:rPr>
          <w:color w:val="auto"/>
          <w:sz w:val="24"/>
          <w:u w:val="single"/>
        </w:rPr>
        <w:tab/>
      </w:r>
      <w:r>
        <w:rPr>
          <w:color w:val="auto"/>
          <w:sz w:val="24"/>
        </w:rPr>
        <w:t>日</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1"/>
        <w:rPr>
          <w:color w:val="auto"/>
          <w:sz w:val="28"/>
        </w:rPr>
      </w:pPr>
    </w:p>
    <w:p>
      <w:pPr>
        <w:pStyle w:val="13"/>
        <w:spacing w:before="71"/>
        <w:ind w:left="438"/>
        <w:rPr>
          <w:color w:val="auto"/>
        </w:rPr>
      </w:pPr>
    </w:p>
    <w:p>
      <w:pPr>
        <w:rPr>
          <w:color w:val="auto"/>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spacing w:before="214"/>
        <w:ind w:left="2079" w:right="2340"/>
        <w:jc w:val="center"/>
        <w:rPr>
          <w:rFonts w:hint="eastAsia" w:ascii="宋体" w:hAnsi="宋体" w:eastAsia="宋体" w:cs="宋体"/>
          <w:b/>
          <w:bCs/>
          <w:color w:val="auto"/>
          <w:kern w:val="2"/>
          <w:sz w:val="30"/>
          <w:szCs w:val="30"/>
          <w:highlight w:val="none"/>
          <w:lang w:val="en-US" w:eastAsia="zh-CN" w:bidi="ar-SA"/>
        </w:rPr>
      </w:pPr>
      <w:r>
        <w:rPr>
          <w:rFonts w:hint="eastAsia" w:ascii="宋体" w:hAnsi="宋体" w:eastAsia="宋体" w:cs="宋体"/>
          <w:b/>
          <w:bCs/>
          <w:color w:val="auto"/>
          <w:kern w:val="2"/>
          <w:sz w:val="30"/>
          <w:szCs w:val="30"/>
          <w:highlight w:val="none"/>
          <w:lang w:val="en-US" w:eastAsia="zh-CN" w:bidi="ar-SA"/>
        </w:rPr>
        <w:t>三、投标保证金</w:t>
      </w:r>
    </w:p>
    <w:p>
      <w:pPr>
        <w:pStyle w:val="13"/>
        <w:spacing w:before="10"/>
        <w:rPr>
          <w:color w:val="auto"/>
          <w:sz w:val="24"/>
          <w:szCs w:val="24"/>
        </w:rPr>
      </w:pPr>
    </w:p>
    <w:p>
      <w:pPr>
        <w:pStyle w:val="10"/>
        <w:spacing w:before="1"/>
        <w:jc w:val="center"/>
        <w:rPr>
          <w:rFonts w:ascii="宋体" w:hAnsi="宋体" w:eastAsia="宋体" w:cs="宋体"/>
          <w:snapToGrid w:val="0"/>
          <w:color w:val="auto"/>
          <w:spacing w:val="7"/>
          <w:kern w:val="0"/>
          <w:sz w:val="24"/>
          <w:szCs w:val="24"/>
        </w:rPr>
      </w:pPr>
      <w:r>
        <w:rPr>
          <w:rFonts w:ascii="宋体" w:hAnsi="宋体" w:eastAsia="宋体" w:cs="宋体"/>
          <w:snapToGrid w:val="0"/>
          <w:color w:val="auto"/>
          <w:spacing w:val="7"/>
          <w:kern w:val="0"/>
          <w:sz w:val="24"/>
          <w:szCs w:val="24"/>
        </w:rPr>
        <w:t>附银行保函或担保公司担保或</w:t>
      </w:r>
      <w:r>
        <w:rPr>
          <w:rFonts w:hint="eastAsia" w:cs="宋体"/>
          <w:snapToGrid w:val="0"/>
          <w:color w:val="auto"/>
          <w:spacing w:val="7"/>
          <w:kern w:val="0"/>
          <w:sz w:val="24"/>
          <w:szCs w:val="24"/>
          <w:lang w:eastAsia="zh-CN"/>
        </w:rPr>
        <w:t>（</w:t>
      </w:r>
      <w:r>
        <w:rPr>
          <w:rFonts w:ascii="宋体" w:hAnsi="宋体" w:eastAsia="宋体" w:cs="宋体"/>
          <w:snapToGrid w:val="0"/>
          <w:color w:val="auto"/>
          <w:spacing w:val="7"/>
          <w:kern w:val="0"/>
          <w:sz w:val="24"/>
          <w:szCs w:val="24"/>
        </w:rPr>
        <w:t>投标企业基本账户开户许可证和投标人汇款回单</w:t>
      </w:r>
      <w:r>
        <w:rPr>
          <w:rFonts w:hint="eastAsia" w:cs="宋体"/>
          <w:snapToGrid w:val="0"/>
          <w:color w:val="auto"/>
          <w:spacing w:val="7"/>
          <w:kern w:val="0"/>
          <w:sz w:val="24"/>
          <w:szCs w:val="24"/>
          <w:lang w:eastAsia="zh-CN"/>
        </w:rPr>
        <w:t>）</w:t>
      </w:r>
      <w:r>
        <w:rPr>
          <w:rFonts w:ascii="宋体" w:hAnsi="宋体" w:eastAsia="宋体" w:cs="宋体"/>
          <w:snapToGrid w:val="0"/>
          <w:color w:val="auto"/>
          <w:spacing w:val="7"/>
          <w:kern w:val="0"/>
          <w:sz w:val="24"/>
          <w:szCs w:val="24"/>
        </w:rPr>
        <w:t>复印件加盖公章。</w:t>
      </w:r>
    </w:p>
    <w:p>
      <w:pPr>
        <w:pStyle w:val="13"/>
        <w:rPr>
          <w:color w:val="auto"/>
          <w:sz w:val="20"/>
        </w:rPr>
      </w:pPr>
    </w:p>
    <w:p>
      <w:pPr>
        <w:pStyle w:val="13"/>
        <w:rPr>
          <w:color w:val="auto"/>
          <w:sz w:val="20"/>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pStyle w:val="9"/>
        <w:spacing w:before="206"/>
        <w:ind w:right="2342"/>
        <w:jc w:val="center"/>
        <w:rPr>
          <w:color w:val="auto"/>
          <w:lang w:val="en-US"/>
        </w:rPr>
      </w:pPr>
    </w:p>
    <w:p>
      <w:pPr>
        <w:spacing w:before="214"/>
        <w:ind w:left="2079" w:right="2340"/>
        <w:jc w:val="center"/>
        <w:rPr>
          <w:rFonts w:hint="eastAsia" w:ascii="宋体" w:hAnsi="宋体" w:eastAsia="宋体" w:cs="宋体"/>
          <w:b/>
          <w:bCs/>
          <w:color w:val="000000" w:themeColor="text1"/>
          <w:kern w:val="2"/>
          <w:sz w:val="30"/>
          <w:szCs w:val="30"/>
          <w:highlight w:val="none"/>
          <w:lang w:val="en-US" w:eastAsia="zh-CN" w:bidi="ar-SA"/>
          <w14:textFill>
            <w14:solidFill>
              <w14:schemeClr w14:val="tx1"/>
            </w14:solidFill>
          </w14:textFill>
        </w:rPr>
      </w:pPr>
      <w:r>
        <w:rPr>
          <w:rFonts w:hint="eastAsia" w:ascii="宋体" w:hAnsi="宋体" w:eastAsia="宋体" w:cs="宋体"/>
          <w:b/>
          <w:bCs/>
          <w:color w:val="000000" w:themeColor="text1"/>
          <w:kern w:val="2"/>
          <w:sz w:val="30"/>
          <w:szCs w:val="30"/>
          <w:highlight w:val="none"/>
          <w:lang w:val="en-US" w:eastAsia="zh-CN" w:bidi="ar-SA"/>
          <w14:textFill>
            <w14:solidFill>
              <w14:schemeClr w14:val="tx1"/>
            </w14:solidFill>
          </w14:textFill>
        </w:rPr>
        <w:t>四、施工组织设计</w:t>
      </w:r>
    </w:p>
    <w:p>
      <w:pPr>
        <w:spacing w:line="500" w:lineRule="exact"/>
        <w:rPr>
          <w:rFonts w:ascii="宋体" w:hAnsi="宋体" w:cs="宋体"/>
          <w:color w:val="2E75B6" w:themeColor="accent1" w:themeShade="BF"/>
          <w:szCs w:val="21"/>
          <w:highlight w:val="none"/>
        </w:rPr>
      </w:pPr>
    </w:p>
    <w:p>
      <w:pPr>
        <w:spacing w:line="360" w:lineRule="auto"/>
        <w:ind w:firstLine="660" w:firstLineChars="3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投标人</w:t>
      </w:r>
      <w:r>
        <w:rPr>
          <w:rFonts w:hint="eastAsia" w:cs="宋体"/>
          <w:color w:val="000000" w:themeColor="text1"/>
          <w:szCs w:val="21"/>
          <w:highlight w:val="none"/>
          <w:lang w:val="en-US" w:eastAsia="zh-CN"/>
          <w14:textFill>
            <w14:solidFill>
              <w14:schemeClr w14:val="tx1"/>
            </w14:solidFill>
          </w14:textFill>
        </w:rPr>
        <w:t>可</w:t>
      </w:r>
      <w:r>
        <w:rPr>
          <w:rFonts w:hint="eastAsia" w:ascii="宋体" w:hAnsi="宋体" w:cs="宋体"/>
          <w:color w:val="000000" w:themeColor="text1"/>
          <w:szCs w:val="21"/>
          <w:highlight w:val="none"/>
          <w:lang w:eastAsia="zh-CN"/>
          <w14:textFill>
            <w14:solidFill>
              <w14:schemeClr w14:val="tx1"/>
            </w14:solidFill>
          </w14:textFill>
        </w:rPr>
        <w:t>参照</w:t>
      </w:r>
      <w:r>
        <w:rPr>
          <w:rFonts w:hint="eastAsia" w:ascii="宋体" w:hAnsi="宋体" w:cs="宋体"/>
          <w:color w:val="000000" w:themeColor="text1"/>
          <w:szCs w:val="21"/>
          <w:highlight w:val="none"/>
          <w14:textFill>
            <w14:solidFill>
              <w14:schemeClr w14:val="tx1"/>
            </w14:solidFill>
          </w14:textFill>
        </w:rPr>
        <w:t>以下要点编制施工组织设计（文字宜精炼、内容具有针对性）：</w:t>
      </w:r>
    </w:p>
    <w:p>
      <w:pPr>
        <w:spacing w:line="360" w:lineRule="auto"/>
        <w:ind w:firstLine="440" w:firstLineChars="2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w:t>
      </w:r>
      <w:r>
        <w:rPr>
          <w:rFonts w:hint="eastAsia" w:cs="宋体"/>
          <w:color w:val="000000" w:themeColor="text1"/>
          <w:szCs w:val="21"/>
          <w:highlight w:val="none"/>
          <w:lang w:val="en-US" w:eastAsia="zh-CN"/>
          <w14:textFill>
            <w14:solidFill>
              <w14:schemeClr w14:val="tx1"/>
            </w14:solidFill>
          </w14:textFill>
        </w:rPr>
        <w:t>1</w:t>
      </w:r>
      <w:r>
        <w:rPr>
          <w:rFonts w:hint="eastAsia" w:ascii="宋体" w:hAnsi="宋体" w:cs="宋体"/>
          <w:color w:val="000000" w:themeColor="text1"/>
          <w:szCs w:val="21"/>
          <w:highlight w:val="none"/>
          <w14:textFill>
            <w14:solidFill>
              <w14:schemeClr w14:val="tx1"/>
            </w14:solidFill>
          </w14:textFill>
        </w:rPr>
        <w:t>）主要工程项目的施工方案、方法与技术措施（尤其对重点、关键和难点工程的施工方案、方法及其措施）</w:t>
      </w:r>
    </w:p>
    <w:p>
      <w:pPr>
        <w:spacing w:line="360" w:lineRule="auto"/>
        <w:ind w:firstLine="440" w:firstLineChars="2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w:t>
      </w:r>
      <w:r>
        <w:rPr>
          <w:rFonts w:hint="eastAsia" w:cs="宋体"/>
          <w:color w:val="000000" w:themeColor="text1"/>
          <w:szCs w:val="21"/>
          <w:highlight w:val="none"/>
          <w:lang w:val="en-US" w:eastAsia="zh-CN"/>
          <w14:textFill>
            <w14:solidFill>
              <w14:schemeClr w14:val="tx1"/>
            </w14:solidFill>
          </w14:textFill>
        </w:rPr>
        <w:t>2</w:t>
      </w:r>
      <w:r>
        <w:rPr>
          <w:rFonts w:hint="eastAsia" w:ascii="宋体" w:hAnsi="宋体" w:cs="宋体"/>
          <w:color w:val="000000" w:themeColor="text1"/>
          <w:szCs w:val="21"/>
          <w:highlight w:val="none"/>
          <w14:textFill>
            <w14:solidFill>
              <w14:schemeClr w14:val="tx1"/>
            </w14:solidFill>
          </w14:textFill>
        </w:rPr>
        <w:t>）工期的保证体系及保证措施</w:t>
      </w:r>
    </w:p>
    <w:p>
      <w:pPr>
        <w:spacing w:line="360" w:lineRule="auto"/>
        <w:ind w:firstLine="440" w:firstLineChars="2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w:t>
      </w:r>
      <w:r>
        <w:rPr>
          <w:rFonts w:hint="eastAsia" w:cs="宋体"/>
          <w:color w:val="000000" w:themeColor="text1"/>
          <w:szCs w:val="21"/>
          <w:highlight w:val="none"/>
          <w:lang w:val="en-US" w:eastAsia="zh-CN"/>
          <w14:textFill>
            <w14:solidFill>
              <w14:schemeClr w14:val="tx1"/>
            </w14:solidFill>
          </w14:textFill>
        </w:rPr>
        <w:t>3</w:t>
      </w:r>
      <w:r>
        <w:rPr>
          <w:rFonts w:hint="eastAsia" w:ascii="宋体" w:hAnsi="宋体" w:cs="宋体"/>
          <w:color w:val="000000" w:themeColor="text1"/>
          <w:szCs w:val="21"/>
          <w:highlight w:val="none"/>
          <w14:textFill>
            <w14:solidFill>
              <w14:schemeClr w14:val="tx1"/>
            </w14:solidFill>
          </w14:textFill>
        </w:rPr>
        <w:t>）工程质量管理体系及保证措施</w:t>
      </w:r>
    </w:p>
    <w:p>
      <w:pPr>
        <w:spacing w:line="360" w:lineRule="auto"/>
        <w:ind w:firstLine="440" w:firstLineChars="2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w:t>
      </w:r>
      <w:r>
        <w:rPr>
          <w:rFonts w:hint="eastAsia" w:cs="宋体"/>
          <w:color w:val="000000" w:themeColor="text1"/>
          <w:szCs w:val="21"/>
          <w:highlight w:val="none"/>
          <w:lang w:val="en-US" w:eastAsia="zh-CN"/>
          <w14:textFill>
            <w14:solidFill>
              <w14:schemeClr w14:val="tx1"/>
            </w14:solidFill>
          </w14:textFill>
        </w:rPr>
        <w:t>4</w:t>
      </w:r>
      <w:r>
        <w:rPr>
          <w:rFonts w:hint="eastAsia" w:ascii="宋体" w:hAnsi="宋体" w:cs="宋体"/>
          <w:color w:val="000000" w:themeColor="text1"/>
          <w:szCs w:val="21"/>
          <w:highlight w:val="none"/>
          <w14:textFill>
            <w14:solidFill>
              <w14:schemeClr w14:val="tx1"/>
            </w14:solidFill>
          </w14:textFill>
        </w:rPr>
        <w:t>）安全生产管理体系及保证措施</w:t>
      </w:r>
    </w:p>
    <w:p>
      <w:pPr>
        <w:spacing w:line="360" w:lineRule="auto"/>
        <w:ind w:firstLine="440" w:firstLineChars="200"/>
        <w:rPr>
          <w:rFonts w:ascii="宋体" w:hAnsi="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14:textFill>
            <w14:solidFill>
              <w14:schemeClr w14:val="tx1"/>
            </w14:solidFill>
          </w14:textFill>
        </w:rPr>
        <w:t>（</w:t>
      </w:r>
      <w:r>
        <w:rPr>
          <w:rFonts w:hint="eastAsia" w:cs="宋体"/>
          <w:color w:val="000000" w:themeColor="text1"/>
          <w:szCs w:val="21"/>
          <w:highlight w:val="none"/>
          <w:lang w:val="en-US" w:eastAsia="zh-CN"/>
          <w14:textFill>
            <w14:solidFill>
              <w14:schemeClr w14:val="tx1"/>
            </w14:solidFill>
          </w14:textFill>
        </w:rPr>
        <w:t>5</w:t>
      </w:r>
      <w:r>
        <w:rPr>
          <w:rFonts w:hint="eastAsia" w:ascii="宋体" w:hAnsi="宋体" w:cs="宋体"/>
          <w:color w:val="000000" w:themeColor="text1"/>
          <w:szCs w:val="21"/>
          <w:highlight w:val="none"/>
          <w14:textFill>
            <w14:solidFill>
              <w14:schemeClr w14:val="tx1"/>
            </w14:solidFill>
          </w14:textFill>
        </w:rPr>
        <w:t>）项目风险预测与防范，事故应急预案</w:t>
      </w:r>
    </w:p>
    <w:p>
      <w:pPr>
        <w:spacing w:line="360" w:lineRule="auto"/>
        <w:ind w:firstLine="440" w:firstLineChars="200"/>
        <w:rPr>
          <w:rFonts w:ascii="宋体" w:hAnsi="宋体" w:cs="宋体"/>
          <w:color w:val="2E75B6" w:themeColor="accent1" w:themeShade="BF"/>
          <w:szCs w:val="21"/>
          <w:highlight w:val="none"/>
        </w:rPr>
      </w:pPr>
    </w:p>
    <w:p>
      <w:pPr>
        <w:rPr>
          <w:color w:val="auto"/>
          <w:sz w:val="18"/>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spacing w:before="214"/>
        <w:ind w:left="2079" w:right="2340"/>
        <w:jc w:val="center"/>
        <w:rPr>
          <w:rFonts w:hint="eastAsia" w:ascii="宋体" w:hAnsi="宋体" w:eastAsia="宋体" w:cs="宋体"/>
          <w:b/>
          <w:bCs/>
          <w:color w:val="auto"/>
          <w:kern w:val="2"/>
          <w:sz w:val="30"/>
          <w:szCs w:val="30"/>
          <w:highlight w:val="none"/>
          <w:lang w:val="en-US" w:eastAsia="zh-CN" w:bidi="ar-SA"/>
        </w:rPr>
      </w:pPr>
      <w:r>
        <w:rPr>
          <w:rFonts w:hint="eastAsia" w:ascii="宋体" w:hAnsi="宋体" w:eastAsia="宋体" w:cs="宋体"/>
          <w:b/>
          <w:bCs/>
          <w:color w:val="auto"/>
          <w:kern w:val="2"/>
          <w:sz w:val="30"/>
          <w:szCs w:val="30"/>
          <w:highlight w:val="none"/>
          <w:lang w:val="en-US" w:eastAsia="zh-CN" w:bidi="ar-SA"/>
        </w:rPr>
        <mc:AlternateContent>
          <mc:Choice Requires="wpg">
            <w:drawing>
              <wp:anchor distT="0" distB="0" distL="114300" distR="114300" simplePos="0" relativeHeight="251666432" behindDoc="1" locked="0" layoutInCell="1" allowOverlap="1">
                <wp:simplePos x="0" y="0"/>
                <wp:positionH relativeFrom="page">
                  <wp:posOffset>707390</wp:posOffset>
                </wp:positionH>
                <wp:positionV relativeFrom="paragraph">
                  <wp:posOffset>530225</wp:posOffset>
                </wp:positionV>
                <wp:extent cx="6140450" cy="6700520"/>
                <wp:effectExtent l="635" t="0" r="12065" b="5080"/>
                <wp:wrapNone/>
                <wp:docPr id="73" name="组合 73"/>
                <wp:cNvGraphicFramePr/>
                <a:graphic xmlns:a="http://schemas.openxmlformats.org/drawingml/2006/main">
                  <a:graphicData uri="http://schemas.microsoft.com/office/word/2010/wordprocessingGroup">
                    <wpg:wgp>
                      <wpg:cNvGrpSpPr/>
                      <wpg:grpSpPr>
                        <a:xfrm>
                          <a:off x="0" y="0"/>
                          <a:ext cx="6140450" cy="6700520"/>
                          <a:chOff x="1115" y="835"/>
                          <a:chExt cx="9670" cy="10552"/>
                        </a:xfrm>
                        <a:effectLst/>
                      </wpg:grpSpPr>
                      <wps:wsp>
                        <wps:cNvPr id="70" name="直线 117"/>
                        <wps:cNvCnPr/>
                        <wps:spPr>
                          <a:xfrm>
                            <a:off x="1115" y="850"/>
                            <a:ext cx="9669" cy="0"/>
                          </a:xfrm>
                          <a:prstGeom prst="line">
                            <a:avLst/>
                          </a:prstGeom>
                          <a:ln w="19050" cap="flat" cmpd="sng">
                            <a:solidFill>
                              <a:srgbClr val="000000"/>
                            </a:solidFill>
                            <a:prstDash val="solid"/>
                            <a:headEnd type="none" w="med" len="med"/>
                            <a:tailEnd type="none" w="med" len="med"/>
                          </a:ln>
                          <a:effectLst/>
                        </wps:spPr>
                        <wps:bodyPr/>
                      </wps:wsp>
                      <wps:wsp>
                        <wps:cNvPr id="71" name="直线 118"/>
                        <wps:cNvCnPr/>
                        <wps:spPr>
                          <a:xfrm>
                            <a:off x="1145" y="7280"/>
                            <a:ext cx="9609" cy="0"/>
                          </a:xfrm>
                          <a:prstGeom prst="line">
                            <a:avLst/>
                          </a:prstGeom>
                          <a:ln w="9144" cap="flat" cmpd="sng">
                            <a:solidFill>
                              <a:srgbClr val="000000"/>
                            </a:solidFill>
                            <a:prstDash val="solid"/>
                            <a:headEnd type="none" w="med" len="med"/>
                            <a:tailEnd type="none" w="med" len="med"/>
                          </a:ln>
                          <a:effectLst/>
                        </wps:spPr>
                        <wps:bodyPr/>
                      </wps:wsp>
                      <wps:wsp>
                        <wps:cNvPr id="72" name="任意多边形 119"/>
                        <wps:cNvSpPr/>
                        <wps:spPr>
                          <a:xfrm>
                            <a:off x="1114" y="835"/>
                            <a:ext cx="9655" cy="10552"/>
                          </a:xfrm>
                          <a:custGeom>
                            <a:avLst/>
                            <a:gdLst/>
                            <a:ahLst/>
                            <a:cxnLst/>
                            <a:rect l="0" t="0" r="0" b="0"/>
                            <a:pathLst>
                              <a:path w="9655" h="10552">
                                <a:moveTo>
                                  <a:pt x="15" y="0"/>
                                </a:moveTo>
                                <a:lnTo>
                                  <a:pt x="15" y="10552"/>
                                </a:lnTo>
                                <a:moveTo>
                                  <a:pt x="0" y="10537"/>
                                </a:moveTo>
                                <a:lnTo>
                                  <a:pt x="9639" y="10537"/>
                                </a:lnTo>
                                <a:moveTo>
                                  <a:pt x="9654" y="0"/>
                                </a:moveTo>
                                <a:lnTo>
                                  <a:pt x="9654" y="10552"/>
                                </a:lnTo>
                              </a:path>
                            </a:pathLst>
                          </a:custGeom>
                          <a:noFill/>
                          <a:ln w="19050" cap="flat" cmpd="sng">
                            <a:solidFill>
                              <a:srgbClr val="000000"/>
                            </a:solidFill>
                            <a:prstDash val="solid"/>
                            <a:headEnd type="none" w="med" len="med"/>
                            <a:tailEnd type="none" w="med" len="med"/>
                          </a:ln>
                          <a:effectLst/>
                        </wps:spPr>
                        <wps:bodyPr upright="1"/>
                      </wps:wsp>
                    </wpg:wgp>
                  </a:graphicData>
                </a:graphic>
              </wp:anchor>
            </w:drawing>
          </mc:Choice>
          <mc:Fallback>
            <w:pict>
              <v:group id="_x0000_s1026" o:spid="_x0000_s1026" o:spt="203" style="position:absolute;left:0pt;margin-left:55.7pt;margin-top:41.75pt;height:527.6pt;width:483.5pt;mso-position-horizontal-relative:page;z-index:-251650048;mso-width-relative:page;mso-height-relative:page;" coordorigin="1115,835" coordsize="9670,10552" o:gfxdata="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">
                <o:lock v:ext="edit" aspectratio="f"/>
                <v:line id="直线 117" o:spid="_x0000_s1026" o:spt="20" style="position:absolute;left:1115;top:850;height:0;width:9669;" filled="f" stroked="t" coordsize="21600,21600" o:gfxdata="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zJkq68AAAA&#10;2wAAAA8AAAAAAAAAAQAgAAAAIgAAAGRycy9kb3ducmV2LnhtbFBLAQIUABQAAAAIAIdO4kAzLwWe&#10;OwAAADkAAAAQAAAAAAAAAAEAIAAAAAsBAABkcnMvc2hhcGV4bWwueG1sUEsFBgAAAAAGAAYAWwEA&#10;ALUDAAAAAA==&#10;">
                  <v:fill on="f" focussize="0,0"/>
                  <v:stroke weight="1.5pt" color="#000000" joinstyle="round"/>
                  <v:imagedata o:title=""/>
                  <o:lock v:ext="edit" aspectratio="f"/>
                </v:line>
                <v:line id="直线 118" o:spid="_x0000_s1026" o:spt="20" style="position:absolute;left:1145;top:7280;height:0;width:9609;" filled="f" stroked="t" coordsize="21600,21600" o:gfxdata="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lMPDS8AAAA&#10;2wAAAA8AAAAAAAAAAQAgAAAAIgAAAGRycy9kb3ducmV2LnhtbFBLAQIUABQAAAAIAIdO4kAzLwWe&#10;OwAAADkAAAAQAAAAAAAAAAEAIAAAAAsBAABkcnMvc2hhcGV4bWwueG1sUEsFBgAAAAAGAAYAWwEA&#10;ALUDAAAAAA==&#10;">
                  <v:fill on="f" focussize="0,0"/>
                  <v:stroke weight="0.72pt" color="#000000" joinstyle="round"/>
                  <v:imagedata o:title=""/>
                  <o:lock v:ext="edit" aspectratio="f"/>
                </v:line>
                <v:shape id="任意多边形 119" o:spid="_x0000_s1026" o:spt="100" style="position:absolute;left:1114;top:835;height:10552;width:9655;" filled="f" stroked="t" coordsize="9655,10552" o:gfxdata="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woNmvQAA&#10;ANsAAAAPAAAAAAAAAAEAIAAAACIAAABkcnMvZG93bnJldi54bWxQSwECFAAUAAAACACHTuJAMy8F&#10;njsAAAA5AAAAEAAAAAAAAAABACAAAAAMAQAAZHJzL3NoYXBleG1sLnhtbFBLBQYAAAAABgAGAFsB&#10;AAC2AwAAAAA=&#10;" path="m15,0l15,10552m0,10537l9639,10537m9654,0l9654,10552e">
                  <v:fill on="f" focussize="0,0"/>
                  <v:stroke weight="1.5pt" color="#000000" joinstyle="round"/>
                  <v:imagedata o:title=""/>
                  <o:lock v:ext="edit" aspectratio="f"/>
                </v:shape>
              </v:group>
            </w:pict>
          </mc:Fallback>
        </mc:AlternateContent>
      </w:r>
      <w:r>
        <w:rPr>
          <w:rFonts w:hint="eastAsia" w:ascii="宋体" w:hAnsi="宋体" w:eastAsia="宋体" w:cs="宋体"/>
          <w:b/>
          <w:bCs/>
          <w:color w:val="auto"/>
          <w:kern w:val="2"/>
          <w:sz w:val="30"/>
          <w:szCs w:val="30"/>
          <w:highlight w:val="none"/>
          <w:lang w:val="en-US" w:eastAsia="zh-CN" w:bidi="ar-SA"/>
        </w:rPr>
        <w:t>五、项目管理机构</w:t>
      </w:r>
    </w:p>
    <w:p>
      <w:pPr>
        <w:pStyle w:val="13"/>
        <w:spacing w:before="4"/>
        <w:rPr>
          <w:color w:val="auto"/>
          <w:sz w:val="43"/>
        </w:rPr>
      </w:pPr>
    </w:p>
    <w:p>
      <w:pPr>
        <w:ind w:left="498"/>
        <w:rPr>
          <w:color w:val="auto"/>
          <w:sz w:val="24"/>
        </w:rPr>
      </w:pPr>
      <w:r>
        <w:rPr>
          <w:color w:val="auto"/>
          <w:sz w:val="24"/>
        </w:rPr>
        <w:t>拟为承包本标段工程设立的组织机构以框图方式表示。</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spacing w:before="3"/>
        <w:rPr>
          <w:color w:val="auto"/>
          <w:sz w:val="17"/>
        </w:rPr>
      </w:pPr>
    </w:p>
    <w:p>
      <w:pPr>
        <w:ind w:left="498"/>
        <w:rPr>
          <w:color w:val="auto"/>
          <w:sz w:val="24"/>
        </w:rPr>
        <w:sectPr>
          <w:pgSz w:w="11911" w:h="16838"/>
          <w:pgMar w:top="1247" w:right="1134" w:bottom="1247" w:left="1134" w:header="737" w:footer="850" w:gutter="0"/>
          <w:pgNumType w:fmt="numberInDash"/>
          <w:cols w:space="0" w:num="1"/>
          <w:rtlGutter w:val="0"/>
          <w:docGrid w:linePitch="0" w:charSpace="0"/>
        </w:sectPr>
      </w:pPr>
      <w:r>
        <w:rPr>
          <w:color w:val="auto"/>
          <w:sz w:val="24"/>
        </w:rPr>
        <w:t>说明</w:t>
      </w:r>
    </w:p>
    <w:p>
      <w:pPr>
        <w:pStyle w:val="13"/>
        <w:spacing w:before="11"/>
        <w:rPr>
          <w:color w:val="auto"/>
          <w:sz w:val="15"/>
        </w:rPr>
      </w:pPr>
    </w:p>
    <w:p>
      <w:pPr>
        <w:pStyle w:val="29"/>
        <w:rPr>
          <w:rFonts w:hint="eastAsia" w:ascii="宋体" w:hAnsi="宋体" w:cs="宋体"/>
          <w:bCs/>
          <w:color w:val="auto"/>
          <w:sz w:val="30"/>
          <w:szCs w:val="30"/>
          <w:highlight w:val="none"/>
        </w:rPr>
      </w:pPr>
      <w:r>
        <w:rPr>
          <w:rFonts w:hint="eastAsia" w:ascii="宋体" w:hAnsi="宋体" w:cs="宋体"/>
          <w:bCs/>
          <w:color w:val="auto"/>
          <w:sz w:val="30"/>
          <w:szCs w:val="30"/>
          <w:highlight w:val="none"/>
          <w:lang w:val="en-US" w:eastAsia="zh-CN"/>
        </w:rPr>
        <w:t>六</w:t>
      </w:r>
      <w:r>
        <w:rPr>
          <w:rFonts w:hint="eastAsia" w:ascii="宋体" w:hAnsi="宋体" w:cs="宋体"/>
          <w:bCs/>
          <w:color w:val="auto"/>
          <w:sz w:val="30"/>
          <w:szCs w:val="30"/>
          <w:highlight w:val="none"/>
        </w:rPr>
        <w:t>、拟分包项目情况表</w:t>
      </w:r>
    </w:p>
    <w:tbl>
      <w:tblPr>
        <w:tblStyle w:val="25"/>
        <w:tblW w:w="0" w:type="auto"/>
        <w:tblInd w:w="164"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2410"/>
        <w:gridCol w:w="2409"/>
        <w:gridCol w:w="2409"/>
        <w:gridCol w:w="241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PrEx>
        <w:trPr>
          <w:trHeight w:val="712" w:hRule="atLeast"/>
        </w:trPr>
        <w:tc>
          <w:tcPr>
            <w:tcW w:w="2410" w:type="dxa"/>
            <w:tcBorders>
              <w:bottom w:val="single" w:color="000000" w:sz="6" w:space="0"/>
              <w:right w:val="single" w:color="000000" w:sz="6" w:space="0"/>
            </w:tcBorders>
            <w:noWrap w:val="0"/>
            <w:vAlign w:val="top"/>
          </w:tcPr>
          <w:p>
            <w:pPr>
              <w:pStyle w:val="32"/>
              <w:spacing w:before="46" w:line="242" w:lineRule="auto"/>
              <w:ind w:left="964" w:right="461" w:hanging="480"/>
              <w:rPr>
                <w:rFonts w:hint="eastAsia" w:ascii="宋体" w:hAnsi="宋体" w:cs="宋体"/>
                <w:color w:val="auto"/>
                <w:sz w:val="24"/>
                <w:highlight w:val="none"/>
              </w:rPr>
            </w:pPr>
            <w:r>
              <w:rPr>
                <w:rFonts w:hint="eastAsia" w:ascii="宋体" w:hAnsi="宋体" w:cs="宋体"/>
                <w:color w:val="auto"/>
                <w:sz w:val="24"/>
                <w:highlight w:val="none"/>
              </w:rPr>
              <w:t>拟分包的工程项目</w:t>
            </w:r>
          </w:p>
        </w:tc>
        <w:tc>
          <w:tcPr>
            <w:tcW w:w="2409" w:type="dxa"/>
            <w:tcBorders>
              <w:left w:val="single" w:color="000000" w:sz="6" w:space="0"/>
              <w:bottom w:val="single" w:color="000000" w:sz="6" w:space="0"/>
              <w:right w:val="single" w:color="000000" w:sz="6" w:space="0"/>
            </w:tcBorders>
            <w:noWrap w:val="0"/>
            <w:vAlign w:val="top"/>
          </w:tcPr>
          <w:p>
            <w:pPr>
              <w:pStyle w:val="32"/>
              <w:spacing w:before="201"/>
              <w:ind w:left="491"/>
              <w:rPr>
                <w:rFonts w:hint="eastAsia" w:ascii="宋体" w:hAnsi="宋体" w:cs="宋体"/>
                <w:color w:val="auto"/>
                <w:sz w:val="24"/>
                <w:highlight w:val="none"/>
              </w:rPr>
            </w:pPr>
            <w:r>
              <w:rPr>
                <w:rFonts w:hint="eastAsia" w:ascii="宋体" w:hAnsi="宋体" w:cs="宋体"/>
                <w:color w:val="auto"/>
                <w:sz w:val="24"/>
                <w:highlight w:val="none"/>
              </w:rPr>
              <w:t>主要工程内容</w:t>
            </w:r>
          </w:p>
        </w:tc>
        <w:tc>
          <w:tcPr>
            <w:tcW w:w="2409" w:type="dxa"/>
            <w:tcBorders>
              <w:left w:val="single" w:color="000000" w:sz="6" w:space="0"/>
              <w:bottom w:val="single" w:color="000000" w:sz="6" w:space="0"/>
              <w:right w:val="single" w:color="000000" w:sz="6" w:space="0"/>
            </w:tcBorders>
            <w:noWrap w:val="0"/>
            <w:vAlign w:val="top"/>
          </w:tcPr>
          <w:p>
            <w:pPr>
              <w:pStyle w:val="32"/>
              <w:spacing w:before="201"/>
              <w:ind w:left="253"/>
              <w:rPr>
                <w:rFonts w:hint="eastAsia" w:ascii="宋体" w:hAnsi="宋体" w:cs="宋体"/>
                <w:color w:val="auto"/>
                <w:sz w:val="24"/>
                <w:highlight w:val="none"/>
              </w:rPr>
            </w:pPr>
            <w:r>
              <w:rPr>
                <w:rFonts w:hint="eastAsia" w:ascii="宋体" w:hAnsi="宋体" w:cs="宋体"/>
                <w:color w:val="auto"/>
                <w:sz w:val="24"/>
                <w:highlight w:val="none"/>
              </w:rPr>
              <w:t>预计造价（万元）</w:t>
            </w:r>
          </w:p>
        </w:tc>
        <w:tc>
          <w:tcPr>
            <w:tcW w:w="2410" w:type="dxa"/>
            <w:tcBorders>
              <w:left w:val="single" w:color="000000" w:sz="6" w:space="0"/>
              <w:bottom w:val="single" w:color="000000" w:sz="6" w:space="0"/>
            </w:tcBorders>
            <w:noWrap w:val="0"/>
            <w:vAlign w:val="top"/>
          </w:tcPr>
          <w:p>
            <w:pPr>
              <w:pStyle w:val="32"/>
              <w:spacing w:before="201"/>
              <w:ind w:left="130" w:right="91"/>
              <w:jc w:val="center"/>
              <w:rPr>
                <w:rFonts w:hint="eastAsia" w:ascii="宋体" w:hAnsi="宋体" w:cs="宋体"/>
                <w:color w:val="auto"/>
                <w:sz w:val="24"/>
                <w:highlight w:val="none"/>
              </w:rPr>
            </w:pPr>
            <w:r>
              <w:rPr>
                <w:rFonts w:hint="eastAsia" w:ascii="宋体" w:hAnsi="宋体" w:cs="宋体"/>
                <w:color w:val="auto"/>
                <w:sz w:val="24"/>
                <w:highlight w:val="none"/>
              </w:rPr>
              <w:t>备注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45"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restart"/>
            <w:tcBorders>
              <w:top w:val="single" w:color="000000" w:sz="6" w:space="0"/>
              <w:left w:val="single" w:color="000000" w:sz="6" w:space="0"/>
            </w:tcBorders>
            <w:noWrap w:val="0"/>
            <w:vAlign w:val="top"/>
          </w:tcPr>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rPr>
                <w:rFonts w:hint="eastAsia" w:ascii="宋体" w:hAnsi="宋体" w:cs="宋体"/>
                <w:color w:val="auto"/>
                <w:sz w:val="24"/>
                <w:highlight w:val="none"/>
              </w:rPr>
            </w:pPr>
          </w:p>
          <w:p>
            <w:pPr>
              <w:pStyle w:val="32"/>
              <w:spacing w:before="1"/>
              <w:rPr>
                <w:rFonts w:hint="eastAsia" w:ascii="宋体" w:hAnsi="宋体" w:cs="宋体"/>
                <w:color w:val="auto"/>
                <w:sz w:val="29"/>
                <w:highlight w:val="none"/>
              </w:rPr>
            </w:pPr>
          </w:p>
          <w:p>
            <w:pPr>
              <w:pStyle w:val="32"/>
              <w:spacing w:line="242" w:lineRule="auto"/>
              <w:ind w:left="133" w:right="91"/>
              <w:jc w:val="center"/>
              <w:rPr>
                <w:rFonts w:hint="eastAsia" w:ascii="宋体" w:hAnsi="宋体" w:cs="宋体"/>
                <w:color w:val="auto"/>
                <w:sz w:val="24"/>
                <w:highlight w:val="none"/>
              </w:rPr>
            </w:pPr>
            <w:r>
              <w:rPr>
                <w:rFonts w:hint="eastAsia" w:ascii="宋体" w:hAnsi="宋体" w:cs="宋体"/>
                <w:color w:val="auto"/>
                <w:sz w:val="24"/>
                <w:highlight w:val="none"/>
              </w:rPr>
              <w:t>注：若无分包计划，则投标人应在本表填写“无”。</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6"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37" w:hRule="atLeast"/>
        </w:trPr>
        <w:tc>
          <w:tcPr>
            <w:tcW w:w="2410" w:type="dxa"/>
            <w:tcBorders>
              <w:top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09" w:type="dxa"/>
            <w:tcBorders>
              <w:top w:val="single" w:color="000000" w:sz="6" w:space="0"/>
              <w:left w:val="single" w:color="000000" w:sz="6" w:space="0"/>
              <w:bottom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44" w:hRule="atLeast"/>
        </w:trPr>
        <w:tc>
          <w:tcPr>
            <w:tcW w:w="4819" w:type="dxa"/>
            <w:gridSpan w:val="2"/>
            <w:tcBorders>
              <w:top w:val="single" w:color="000000" w:sz="6" w:space="0"/>
              <w:right w:val="single" w:color="000000" w:sz="6" w:space="0"/>
            </w:tcBorders>
            <w:noWrap w:val="0"/>
            <w:vAlign w:val="top"/>
          </w:tcPr>
          <w:p>
            <w:pPr>
              <w:pStyle w:val="32"/>
              <w:spacing w:before="140"/>
              <w:ind w:left="1109"/>
              <w:rPr>
                <w:rFonts w:hint="eastAsia" w:ascii="宋体" w:hAnsi="宋体" w:cs="宋体"/>
                <w:color w:val="auto"/>
                <w:sz w:val="20"/>
                <w:highlight w:val="none"/>
              </w:rPr>
            </w:pPr>
            <w:r>
              <w:rPr>
                <w:rFonts w:hint="eastAsia" w:ascii="宋体" w:hAnsi="宋体" w:cs="宋体"/>
                <w:color w:val="auto"/>
                <w:sz w:val="24"/>
                <w:highlight w:val="none"/>
              </w:rPr>
              <w:t>拟分包工程造价合计（万元）</w:t>
            </w:r>
          </w:p>
        </w:tc>
        <w:tc>
          <w:tcPr>
            <w:tcW w:w="2409" w:type="dxa"/>
            <w:tcBorders>
              <w:top w:val="single" w:color="000000" w:sz="6" w:space="0"/>
              <w:left w:val="single" w:color="000000" w:sz="6" w:space="0"/>
              <w:right w:val="single" w:color="000000" w:sz="6" w:space="0"/>
            </w:tcBorders>
            <w:noWrap w:val="0"/>
            <w:vAlign w:val="top"/>
          </w:tcPr>
          <w:p>
            <w:pPr>
              <w:pStyle w:val="32"/>
              <w:rPr>
                <w:rFonts w:hint="eastAsia" w:ascii="宋体" w:hAnsi="宋体" w:cs="宋体"/>
                <w:color w:val="auto"/>
                <w:sz w:val="20"/>
                <w:highlight w:val="none"/>
              </w:rPr>
            </w:pPr>
          </w:p>
        </w:tc>
        <w:tc>
          <w:tcPr>
            <w:tcW w:w="2410" w:type="dxa"/>
            <w:vMerge w:val="continue"/>
            <w:tcBorders>
              <w:top w:val="nil"/>
              <w:left w:val="single" w:color="000000" w:sz="6" w:space="0"/>
            </w:tcBorders>
            <w:noWrap w:val="0"/>
            <w:vAlign w:val="top"/>
          </w:tcPr>
          <w:p>
            <w:pPr>
              <w:rPr>
                <w:rFonts w:hint="eastAsia" w:ascii="宋体" w:hAnsi="宋体" w:cs="宋体"/>
                <w:color w:val="auto"/>
                <w:sz w:val="2"/>
                <w:szCs w:val="2"/>
                <w:highlight w:val="none"/>
              </w:rPr>
            </w:pPr>
          </w:p>
        </w:tc>
      </w:tr>
    </w:tbl>
    <w:p>
      <w:pPr>
        <w:pStyle w:val="13"/>
        <w:spacing w:before="4"/>
        <w:rPr>
          <w:rFonts w:hint="eastAsia" w:ascii="宋体" w:hAnsi="宋体" w:cs="宋体"/>
          <w:color w:val="auto"/>
          <w:sz w:val="24"/>
          <w:highlight w:val="none"/>
        </w:rPr>
      </w:pPr>
    </w:p>
    <w:p>
      <w:pPr>
        <w:rPr>
          <w:rFonts w:hint="eastAsia"/>
          <w:b/>
          <w:bCs/>
          <w:color w:val="auto"/>
          <w:sz w:val="32"/>
          <w:szCs w:val="32"/>
          <w:lang w:val="en-US"/>
        </w:rPr>
      </w:pPr>
      <w:r>
        <w:rPr>
          <w:rFonts w:hint="eastAsia"/>
          <w:b/>
          <w:bCs/>
          <w:color w:val="auto"/>
          <w:sz w:val="32"/>
          <w:szCs w:val="32"/>
          <w:lang w:val="en-US"/>
        </w:rPr>
        <w:br w:type="page"/>
      </w:r>
    </w:p>
    <w:p>
      <w:pPr>
        <w:pStyle w:val="10"/>
        <w:spacing w:before="215"/>
        <w:ind w:left="0"/>
        <w:jc w:val="center"/>
        <w:rPr>
          <w:b/>
          <w:bCs/>
          <w:color w:val="auto"/>
          <w:sz w:val="32"/>
          <w:szCs w:val="32"/>
        </w:rPr>
      </w:pPr>
      <w:r>
        <w:rPr>
          <w:rFonts w:hint="eastAsia"/>
          <w:b/>
          <w:bCs/>
          <w:color w:val="auto"/>
          <w:sz w:val="32"/>
          <w:szCs w:val="32"/>
          <w:lang w:val="en-US" w:eastAsia="zh-CN"/>
        </w:rPr>
        <w:t>七</w:t>
      </w:r>
      <w:r>
        <w:rPr>
          <w:b/>
          <w:bCs/>
          <w:color w:val="auto"/>
          <w:sz w:val="32"/>
          <w:szCs w:val="32"/>
        </w:rPr>
        <w:t>、资格审查资料</w:t>
      </w:r>
    </w:p>
    <w:p>
      <w:pPr>
        <w:pStyle w:val="13"/>
        <w:rPr>
          <w:color w:val="auto"/>
          <w:sz w:val="20"/>
          <w:szCs w:val="16"/>
        </w:rPr>
      </w:pPr>
    </w:p>
    <w:p>
      <w:pPr>
        <w:pStyle w:val="13"/>
        <w:spacing w:before="1"/>
        <w:rPr>
          <w:color w:val="auto"/>
          <w:sz w:val="28"/>
          <w:szCs w:val="22"/>
        </w:rPr>
      </w:pPr>
    </w:p>
    <w:p>
      <w:pPr>
        <w:pStyle w:val="13"/>
        <w:rPr>
          <w:color w:val="auto"/>
          <w:sz w:val="24"/>
          <w:szCs w:val="24"/>
        </w:rPr>
      </w:pPr>
      <w:r>
        <w:rPr>
          <w:rFonts w:hint="eastAsia"/>
          <w:color w:val="auto"/>
          <w:sz w:val="24"/>
          <w:szCs w:val="24"/>
        </w:rPr>
        <w:t>（一）</w:t>
      </w:r>
      <w:r>
        <w:rPr>
          <w:color w:val="auto"/>
          <w:sz w:val="24"/>
          <w:szCs w:val="24"/>
        </w:rPr>
        <w:t>投标人基本情况表</w:t>
      </w:r>
    </w:p>
    <w:p>
      <w:pPr>
        <w:pStyle w:val="13"/>
        <w:jc w:val="center"/>
        <w:rPr>
          <w:color w:val="auto"/>
          <w:sz w:val="20"/>
        </w:rPr>
      </w:pPr>
    </w:p>
    <w:tbl>
      <w:tblPr>
        <w:tblStyle w:val="25"/>
        <w:tblW w:w="96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6"/>
        <w:gridCol w:w="1136"/>
        <w:gridCol w:w="940"/>
        <w:gridCol w:w="941"/>
        <w:gridCol w:w="469"/>
        <w:gridCol w:w="348"/>
        <w:gridCol w:w="1436"/>
        <w:gridCol w:w="322"/>
        <w:gridCol w:w="962"/>
        <w:gridCol w:w="1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jc w:val="center"/>
        </w:trPr>
        <w:tc>
          <w:tcPr>
            <w:tcW w:w="1936" w:type="dxa"/>
          </w:tcPr>
          <w:p>
            <w:pPr>
              <w:pStyle w:val="32"/>
              <w:spacing w:before="128" w:line="251" w:lineRule="exact"/>
              <w:ind w:left="324"/>
              <w:jc w:val="both"/>
              <w:rPr>
                <w:color w:val="auto"/>
                <w:sz w:val="21"/>
              </w:rPr>
            </w:pPr>
            <w:r>
              <w:rPr>
                <w:rFonts w:hint="eastAsia"/>
                <w:color w:val="auto"/>
                <w:sz w:val="21"/>
                <w:lang w:eastAsia="zh-CN"/>
              </w:rPr>
              <w:t>投标人</w:t>
            </w:r>
            <w:r>
              <w:rPr>
                <w:color w:val="auto"/>
                <w:sz w:val="21"/>
              </w:rPr>
              <w:t>名称</w:t>
            </w:r>
          </w:p>
        </w:tc>
        <w:tc>
          <w:tcPr>
            <w:tcW w:w="7664" w:type="dxa"/>
            <w:gridSpan w:val="9"/>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tcPr>
          <w:p>
            <w:pPr>
              <w:pStyle w:val="32"/>
              <w:spacing w:before="129" w:line="251" w:lineRule="exact"/>
              <w:ind w:left="430"/>
              <w:jc w:val="both"/>
              <w:rPr>
                <w:color w:val="auto"/>
                <w:sz w:val="21"/>
              </w:rPr>
            </w:pPr>
            <w:r>
              <w:rPr>
                <w:color w:val="auto"/>
                <w:sz w:val="21"/>
              </w:rPr>
              <w:t>注册地址</w:t>
            </w:r>
          </w:p>
        </w:tc>
        <w:tc>
          <w:tcPr>
            <w:tcW w:w="3834" w:type="dxa"/>
            <w:gridSpan w:val="5"/>
          </w:tcPr>
          <w:p>
            <w:pPr>
              <w:pStyle w:val="32"/>
              <w:jc w:val="center"/>
              <w:rPr>
                <w:rFonts w:ascii="Times New Roman"/>
                <w:color w:val="auto"/>
                <w:sz w:val="20"/>
              </w:rPr>
            </w:pPr>
          </w:p>
        </w:tc>
        <w:tc>
          <w:tcPr>
            <w:tcW w:w="1436" w:type="dxa"/>
          </w:tcPr>
          <w:p>
            <w:pPr>
              <w:pStyle w:val="32"/>
              <w:spacing w:before="129" w:line="251" w:lineRule="exact"/>
              <w:ind w:left="188" w:right="184"/>
              <w:jc w:val="center"/>
              <w:rPr>
                <w:color w:val="auto"/>
                <w:sz w:val="21"/>
              </w:rPr>
            </w:pPr>
            <w:r>
              <w:rPr>
                <w:color w:val="auto"/>
                <w:sz w:val="21"/>
              </w:rPr>
              <w:t>邮政编码</w:t>
            </w:r>
          </w:p>
        </w:tc>
        <w:tc>
          <w:tcPr>
            <w:tcW w:w="2394" w:type="dxa"/>
            <w:gridSpan w:val="3"/>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vMerge w:val="restart"/>
          </w:tcPr>
          <w:p>
            <w:pPr>
              <w:pStyle w:val="32"/>
              <w:jc w:val="center"/>
              <w:rPr>
                <w:color w:val="auto"/>
                <w:sz w:val="26"/>
              </w:rPr>
            </w:pPr>
          </w:p>
          <w:p>
            <w:pPr>
              <w:pStyle w:val="32"/>
              <w:ind w:left="430"/>
              <w:jc w:val="both"/>
              <w:rPr>
                <w:color w:val="auto"/>
                <w:sz w:val="21"/>
              </w:rPr>
            </w:pPr>
            <w:r>
              <w:rPr>
                <w:color w:val="auto"/>
                <w:sz w:val="21"/>
              </w:rPr>
              <w:t>联系方式</w:t>
            </w:r>
          </w:p>
        </w:tc>
        <w:tc>
          <w:tcPr>
            <w:tcW w:w="1136" w:type="dxa"/>
          </w:tcPr>
          <w:p>
            <w:pPr>
              <w:pStyle w:val="32"/>
              <w:spacing w:before="128" w:line="252" w:lineRule="exact"/>
              <w:ind w:left="7"/>
              <w:jc w:val="center"/>
              <w:rPr>
                <w:color w:val="auto"/>
                <w:sz w:val="21"/>
              </w:rPr>
            </w:pPr>
            <w:r>
              <w:rPr>
                <w:color w:val="auto"/>
                <w:sz w:val="21"/>
              </w:rPr>
              <w:t>联系人</w:t>
            </w:r>
          </w:p>
        </w:tc>
        <w:tc>
          <w:tcPr>
            <w:tcW w:w="2698" w:type="dxa"/>
            <w:gridSpan w:val="4"/>
          </w:tcPr>
          <w:p>
            <w:pPr>
              <w:pStyle w:val="32"/>
              <w:jc w:val="center"/>
              <w:rPr>
                <w:rFonts w:ascii="Times New Roman"/>
                <w:color w:val="auto"/>
                <w:sz w:val="20"/>
              </w:rPr>
            </w:pPr>
          </w:p>
        </w:tc>
        <w:tc>
          <w:tcPr>
            <w:tcW w:w="1436" w:type="dxa"/>
          </w:tcPr>
          <w:p>
            <w:pPr>
              <w:pStyle w:val="32"/>
              <w:spacing w:before="128" w:line="252" w:lineRule="exact"/>
              <w:ind w:left="188" w:right="181"/>
              <w:jc w:val="center"/>
              <w:rPr>
                <w:color w:val="auto"/>
                <w:sz w:val="21"/>
              </w:rPr>
            </w:pPr>
            <w:r>
              <w:rPr>
                <w:color w:val="auto"/>
                <w:sz w:val="21"/>
              </w:rPr>
              <w:t>电话</w:t>
            </w:r>
          </w:p>
        </w:tc>
        <w:tc>
          <w:tcPr>
            <w:tcW w:w="2394" w:type="dxa"/>
            <w:gridSpan w:val="3"/>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jc w:val="center"/>
        </w:trPr>
        <w:tc>
          <w:tcPr>
            <w:tcW w:w="1936" w:type="dxa"/>
            <w:vMerge w:val="continue"/>
            <w:tcBorders>
              <w:top w:val="nil"/>
            </w:tcBorders>
          </w:tcPr>
          <w:p>
            <w:pPr>
              <w:jc w:val="center"/>
              <w:rPr>
                <w:color w:val="auto"/>
                <w:sz w:val="2"/>
                <w:szCs w:val="2"/>
              </w:rPr>
            </w:pPr>
          </w:p>
        </w:tc>
        <w:tc>
          <w:tcPr>
            <w:tcW w:w="1136" w:type="dxa"/>
          </w:tcPr>
          <w:p>
            <w:pPr>
              <w:pStyle w:val="32"/>
              <w:tabs>
                <w:tab w:val="left" w:pos="428"/>
              </w:tabs>
              <w:spacing w:before="128" w:line="251" w:lineRule="exact"/>
              <w:ind w:left="7"/>
              <w:jc w:val="center"/>
              <w:rPr>
                <w:color w:val="auto"/>
                <w:sz w:val="21"/>
              </w:rPr>
            </w:pPr>
            <w:r>
              <w:rPr>
                <w:color w:val="auto"/>
                <w:sz w:val="21"/>
              </w:rPr>
              <w:t>传</w:t>
            </w:r>
            <w:r>
              <w:rPr>
                <w:color w:val="auto"/>
                <w:sz w:val="21"/>
              </w:rPr>
              <w:tab/>
            </w:r>
            <w:r>
              <w:rPr>
                <w:color w:val="auto"/>
                <w:sz w:val="21"/>
              </w:rPr>
              <w:t>真</w:t>
            </w:r>
          </w:p>
        </w:tc>
        <w:tc>
          <w:tcPr>
            <w:tcW w:w="2698" w:type="dxa"/>
            <w:gridSpan w:val="4"/>
          </w:tcPr>
          <w:p>
            <w:pPr>
              <w:pStyle w:val="32"/>
              <w:jc w:val="center"/>
              <w:rPr>
                <w:rFonts w:ascii="Times New Roman"/>
                <w:color w:val="auto"/>
                <w:sz w:val="20"/>
              </w:rPr>
            </w:pPr>
          </w:p>
        </w:tc>
        <w:tc>
          <w:tcPr>
            <w:tcW w:w="1436" w:type="dxa"/>
          </w:tcPr>
          <w:p>
            <w:pPr>
              <w:pStyle w:val="32"/>
              <w:spacing w:before="128" w:line="251" w:lineRule="exact"/>
              <w:ind w:left="188" w:right="185"/>
              <w:jc w:val="center"/>
              <w:rPr>
                <w:color w:val="auto"/>
                <w:sz w:val="21"/>
              </w:rPr>
            </w:pPr>
            <w:r>
              <w:rPr>
                <w:color w:val="auto"/>
                <w:sz w:val="21"/>
              </w:rPr>
              <w:t>电子邮件</w:t>
            </w:r>
          </w:p>
        </w:tc>
        <w:tc>
          <w:tcPr>
            <w:tcW w:w="2394" w:type="dxa"/>
            <w:gridSpan w:val="3"/>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tcPr>
          <w:p>
            <w:pPr>
              <w:pStyle w:val="32"/>
              <w:spacing w:before="129" w:line="251" w:lineRule="exact"/>
              <w:ind w:left="325"/>
              <w:jc w:val="both"/>
              <w:rPr>
                <w:color w:val="auto"/>
                <w:sz w:val="21"/>
              </w:rPr>
            </w:pPr>
            <w:r>
              <w:rPr>
                <w:color w:val="auto"/>
                <w:sz w:val="21"/>
              </w:rPr>
              <w:t>法定代表人</w:t>
            </w:r>
          </w:p>
        </w:tc>
        <w:tc>
          <w:tcPr>
            <w:tcW w:w="1136" w:type="dxa"/>
          </w:tcPr>
          <w:p>
            <w:pPr>
              <w:pStyle w:val="32"/>
              <w:spacing w:before="129" w:line="251" w:lineRule="exact"/>
              <w:ind w:left="8"/>
              <w:jc w:val="center"/>
              <w:rPr>
                <w:color w:val="auto"/>
                <w:sz w:val="21"/>
              </w:rPr>
            </w:pPr>
            <w:r>
              <w:rPr>
                <w:color w:val="auto"/>
                <w:sz w:val="21"/>
              </w:rPr>
              <w:t>姓名</w:t>
            </w:r>
          </w:p>
        </w:tc>
        <w:tc>
          <w:tcPr>
            <w:tcW w:w="940" w:type="dxa"/>
          </w:tcPr>
          <w:p>
            <w:pPr>
              <w:pStyle w:val="32"/>
              <w:jc w:val="center"/>
              <w:rPr>
                <w:rFonts w:ascii="Times New Roman"/>
                <w:color w:val="auto"/>
                <w:sz w:val="20"/>
              </w:rPr>
            </w:pPr>
          </w:p>
        </w:tc>
        <w:tc>
          <w:tcPr>
            <w:tcW w:w="1410" w:type="dxa"/>
            <w:gridSpan w:val="2"/>
          </w:tcPr>
          <w:p>
            <w:pPr>
              <w:pStyle w:val="32"/>
              <w:spacing w:before="129" w:line="251" w:lineRule="exact"/>
              <w:ind w:left="196"/>
              <w:jc w:val="center"/>
              <w:rPr>
                <w:color w:val="auto"/>
                <w:sz w:val="21"/>
              </w:rPr>
            </w:pPr>
            <w:r>
              <w:rPr>
                <w:color w:val="auto"/>
                <w:sz w:val="21"/>
              </w:rPr>
              <w:t>技术职称</w:t>
            </w:r>
          </w:p>
        </w:tc>
        <w:tc>
          <w:tcPr>
            <w:tcW w:w="1784" w:type="dxa"/>
            <w:gridSpan w:val="2"/>
          </w:tcPr>
          <w:p>
            <w:pPr>
              <w:pStyle w:val="32"/>
              <w:jc w:val="center"/>
              <w:rPr>
                <w:rFonts w:ascii="Times New Roman"/>
                <w:color w:val="auto"/>
                <w:sz w:val="20"/>
              </w:rPr>
            </w:pPr>
          </w:p>
        </w:tc>
        <w:tc>
          <w:tcPr>
            <w:tcW w:w="1284" w:type="dxa"/>
            <w:gridSpan w:val="2"/>
          </w:tcPr>
          <w:p>
            <w:pPr>
              <w:pStyle w:val="32"/>
              <w:spacing w:before="129" w:line="251" w:lineRule="exact"/>
              <w:ind w:left="351"/>
              <w:jc w:val="center"/>
              <w:rPr>
                <w:color w:val="auto"/>
                <w:sz w:val="21"/>
              </w:rPr>
            </w:pPr>
            <w:r>
              <w:rPr>
                <w:color w:val="auto"/>
                <w:sz w:val="21"/>
              </w:rPr>
              <w:t>电话</w:t>
            </w:r>
          </w:p>
        </w:tc>
        <w:tc>
          <w:tcPr>
            <w:tcW w:w="1110" w:type="dxa"/>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tcPr>
          <w:p>
            <w:pPr>
              <w:pStyle w:val="32"/>
              <w:spacing w:before="128" w:line="252" w:lineRule="exact"/>
              <w:ind w:firstLine="210" w:firstLineChars="100"/>
              <w:jc w:val="both"/>
              <w:rPr>
                <w:color w:val="auto"/>
                <w:sz w:val="21"/>
              </w:rPr>
            </w:pPr>
            <w:r>
              <w:rPr>
                <w:rFonts w:hint="eastAsia"/>
                <w:color w:val="auto"/>
                <w:sz w:val="21"/>
                <w:lang w:eastAsia="zh-CN"/>
              </w:rPr>
              <w:t>项目</w:t>
            </w:r>
            <w:r>
              <w:rPr>
                <w:color w:val="auto"/>
                <w:sz w:val="21"/>
              </w:rPr>
              <w:t>技术负责人</w:t>
            </w:r>
          </w:p>
        </w:tc>
        <w:tc>
          <w:tcPr>
            <w:tcW w:w="1136" w:type="dxa"/>
          </w:tcPr>
          <w:p>
            <w:pPr>
              <w:pStyle w:val="32"/>
              <w:spacing w:before="128" w:line="252" w:lineRule="exact"/>
              <w:ind w:left="8"/>
              <w:jc w:val="center"/>
              <w:rPr>
                <w:color w:val="auto"/>
                <w:sz w:val="21"/>
              </w:rPr>
            </w:pPr>
            <w:r>
              <w:rPr>
                <w:color w:val="auto"/>
                <w:sz w:val="21"/>
              </w:rPr>
              <w:t>姓名</w:t>
            </w:r>
          </w:p>
        </w:tc>
        <w:tc>
          <w:tcPr>
            <w:tcW w:w="940" w:type="dxa"/>
          </w:tcPr>
          <w:p>
            <w:pPr>
              <w:pStyle w:val="32"/>
              <w:jc w:val="center"/>
              <w:rPr>
                <w:rFonts w:ascii="Times New Roman"/>
                <w:color w:val="auto"/>
                <w:sz w:val="20"/>
              </w:rPr>
            </w:pPr>
          </w:p>
        </w:tc>
        <w:tc>
          <w:tcPr>
            <w:tcW w:w="1410" w:type="dxa"/>
            <w:gridSpan w:val="2"/>
          </w:tcPr>
          <w:p>
            <w:pPr>
              <w:pStyle w:val="32"/>
              <w:spacing w:before="128" w:line="252" w:lineRule="exact"/>
              <w:ind w:left="196"/>
              <w:jc w:val="center"/>
              <w:rPr>
                <w:color w:val="auto"/>
                <w:sz w:val="21"/>
              </w:rPr>
            </w:pPr>
            <w:r>
              <w:rPr>
                <w:color w:val="auto"/>
                <w:sz w:val="21"/>
              </w:rPr>
              <w:t>技术职称</w:t>
            </w:r>
          </w:p>
        </w:tc>
        <w:tc>
          <w:tcPr>
            <w:tcW w:w="1784" w:type="dxa"/>
            <w:gridSpan w:val="2"/>
          </w:tcPr>
          <w:p>
            <w:pPr>
              <w:pStyle w:val="32"/>
              <w:jc w:val="center"/>
              <w:rPr>
                <w:rFonts w:ascii="Times New Roman"/>
                <w:color w:val="auto"/>
                <w:sz w:val="20"/>
              </w:rPr>
            </w:pPr>
          </w:p>
        </w:tc>
        <w:tc>
          <w:tcPr>
            <w:tcW w:w="1284" w:type="dxa"/>
            <w:gridSpan w:val="2"/>
          </w:tcPr>
          <w:p>
            <w:pPr>
              <w:pStyle w:val="32"/>
              <w:spacing w:before="128" w:line="252" w:lineRule="exact"/>
              <w:ind w:left="351"/>
              <w:jc w:val="center"/>
              <w:rPr>
                <w:color w:val="auto"/>
                <w:sz w:val="21"/>
              </w:rPr>
            </w:pPr>
            <w:r>
              <w:rPr>
                <w:color w:val="auto"/>
                <w:sz w:val="21"/>
              </w:rPr>
              <w:t>电话</w:t>
            </w:r>
          </w:p>
        </w:tc>
        <w:tc>
          <w:tcPr>
            <w:tcW w:w="1110" w:type="dxa"/>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jc w:val="center"/>
        </w:trPr>
        <w:tc>
          <w:tcPr>
            <w:tcW w:w="1936" w:type="dxa"/>
          </w:tcPr>
          <w:p>
            <w:pPr>
              <w:pStyle w:val="32"/>
              <w:spacing w:before="128" w:line="251" w:lineRule="exact"/>
              <w:ind w:left="325"/>
              <w:jc w:val="both"/>
              <w:rPr>
                <w:color w:val="auto"/>
                <w:sz w:val="21"/>
              </w:rPr>
            </w:pPr>
            <w:r>
              <w:rPr>
                <w:color w:val="auto"/>
                <w:sz w:val="21"/>
              </w:rPr>
              <w:t>营业执照号</w:t>
            </w:r>
          </w:p>
        </w:tc>
        <w:tc>
          <w:tcPr>
            <w:tcW w:w="2076" w:type="dxa"/>
            <w:gridSpan w:val="2"/>
          </w:tcPr>
          <w:p>
            <w:pPr>
              <w:pStyle w:val="32"/>
              <w:jc w:val="center"/>
              <w:rPr>
                <w:rFonts w:ascii="Times New Roman"/>
                <w:color w:val="auto"/>
                <w:sz w:val="20"/>
              </w:rPr>
            </w:pPr>
          </w:p>
        </w:tc>
        <w:tc>
          <w:tcPr>
            <w:tcW w:w="5588" w:type="dxa"/>
            <w:gridSpan w:val="7"/>
          </w:tcPr>
          <w:p>
            <w:pPr>
              <w:pStyle w:val="32"/>
              <w:spacing w:before="128" w:line="251" w:lineRule="exact"/>
              <w:ind w:left="1155"/>
              <w:jc w:val="both"/>
              <w:rPr>
                <w:color w:val="auto"/>
                <w:sz w:val="21"/>
              </w:rPr>
            </w:pPr>
            <w:r>
              <w:rPr>
                <w:color w:val="auto"/>
                <w:sz w:val="21"/>
              </w:rPr>
              <w:t>员工总人数：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tcPr>
          <w:p>
            <w:pPr>
              <w:pStyle w:val="32"/>
              <w:spacing w:before="129" w:line="251" w:lineRule="exact"/>
              <w:ind w:left="220"/>
              <w:jc w:val="center"/>
              <w:rPr>
                <w:color w:val="auto"/>
                <w:sz w:val="21"/>
              </w:rPr>
            </w:pPr>
            <w:r>
              <w:rPr>
                <w:color w:val="auto"/>
                <w:sz w:val="21"/>
              </w:rPr>
              <w:t>企业资质等级</w:t>
            </w:r>
          </w:p>
        </w:tc>
        <w:tc>
          <w:tcPr>
            <w:tcW w:w="2076" w:type="dxa"/>
            <w:gridSpan w:val="2"/>
          </w:tcPr>
          <w:p>
            <w:pPr>
              <w:pStyle w:val="32"/>
              <w:jc w:val="center"/>
              <w:rPr>
                <w:rFonts w:ascii="Times New Roman"/>
                <w:color w:val="auto"/>
                <w:sz w:val="20"/>
              </w:rPr>
            </w:pPr>
          </w:p>
        </w:tc>
        <w:tc>
          <w:tcPr>
            <w:tcW w:w="941" w:type="dxa"/>
            <w:vMerge w:val="restart"/>
          </w:tcPr>
          <w:p>
            <w:pPr>
              <w:pStyle w:val="32"/>
              <w:jc w:val="center"/>
              <w:rPr>
                <w:color w:val="auto"/>
                <w:sz w:val="20"/>
              </w:rPr>
            </w:pPr>
          </w:p>
          <w:p>
            <w:pPr>
              <w:pStyle w:val="32"/>
              <w:jc w:val="center"/>
              <w:rPr>
                <w:color w:val="auto"/>
                <w:sz w:val="20"/>
              </w:rPr>
            </w:pPr>
          </w:p>
          <w:p>
            <w:pPr>
              <w:pStyle w:val="32"/>
              <w:jc w:val="center"/>
              <w:rPr>
                <w:color w:val="auto"/>
                <w:sz w:val="20"/>
              </w:rPr>
            </w:pPr>
          </w:p>
          <w:p>
            <w:pPr>
              <w:pStyle w:val="32"/>
              <w:jc w:val="center"/>
              <w:rPr>
                <w:color w:val="auto"/>
                <w:sz w:val="20"/>
              </w:rPr>
            </w:pPr>
          </w:p>
          <w:p>
            <w:pPr>
              <w:pStyle w:val="32"/>
              <w:spacing w:before="3"/>
              <w:jc w:val="center"/>
              <w:rPr>
                <w:color w:val="auto"/>
                <w:sz w:val="25"/>
              </w:rPr>
            </w:pPr>
          </w:p>
          <w:p>
            <w:pPr>
              <w:pStyle w:val="32"/>
              <w:ind w:left="199"/>
              <w:jc w:val="center"/>
              <w:rPr>
                <w:color w:val="auto"/>
                <w:sz w:val="21"/>
              </w:rPr>
            </w:pPr>
            <w:r>
              <w:rPr>
                <w:color w:val="auto"/>
                <w:sz w:val="21"/>
              </w:rPr>
              <w:t>其中</w:t>
            </w:r>
          </w:p>
        </w:tc>
        <w:tc>
          <w:tcPr>
            <w:tcW w:w="2575" w:type="dxa"/>
            <w:gridSpan w:val="4"/>
            <w:vAlign w:val="center"/>
          </w:tcPr>
          <w:p>
            <w:pPr>
              <w:pStyle w:val="32"/>
              <w:spacing w:before="129" w:line="251" w:lineRule="exact"/>
              <w:jc w:val="center"/>
              <w:rPr>
                <w:color w:val="auto"/>
                <w:sz w:val="21"/>
              </w:rPr>
            </w:pPr>
            <w:r>
              <w:rPr>
                <w:color w:val="auto"/>
                <w:sz w:val="21"/>
              </w:rPr>
              <w:t>项目经理</w:t>
            </w:r>
          </w:p>
        </w:tc>
        <w:tc>
          <w:tcPr>
            <w:tcW w:w="2072" w:type="dxa"/>
            <w:gridSpan w:val="2"/>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3" w:hRule="atLeast"/>
          <w:jc w:val="center"/>
        </w:trPr>
        <w:tc>
          <w:tcPr>
            <w:tcW w:w="1936" w:type="dxa"/>
          </w:tcPr>
          <w:p>
            <w:pPr>
              <w:pStyle w:val="32"/>
              <w:spacing w:before="128" w:line="252" w:lineRule="exact"/>
              <w:ind w:left="430"/>
              <w:jc w:val="both"/>
              <w:rPr>
                <w:color w:val="auto"/>
                <w:sz w:val="21"/>
              </w:rPr>
            </w:pPr>
            <w:r>
              <w:rPr>
                <w:color w:val="auto"/>
                <w:sz w:val="21"/>
              </w:rPr>
              <w:t>注册资本</w:t>
            </w:r>
          </w:p>
        </w:tc>
        <w:tc>
          <w:tcPr>
            <w:tcW w:w="2076" w:type="dxa"/>
            <w:gridSpan w:val="2"/>
          </w:tcPr>
          <w:p>
            <w:pPr>
              <w:pStyle w:val="32"/>
              <w:jc w:val="center"/>
              <w:rPr>
                <w:rFonts w:ascii="Times New Roman"/>
                <w:color w:val="auto"/>
                <w:sz w:val="20"/>
              </w:rPr>
            </w:pPr>
          </w:p>
        </w:tc>
        <w:tc>
          <w:tcPr>
            <w:tcW w:w="941" w:type="dxa"/>
            <w:vMerge w:val="continue"/>
            <w:tcBorders>
              <w:top w:val="nil"/>
            </w:tcBorders>
          </w:tcPr>
          <w:p>
            <w:pPr>
              <w:jc w:val="center"/>
              <w:rPr>
                <w:color w:val="auto"/>
                <w:sz w:val="2"/>
                <w:szCs w:val="2"/>
              </w:rPr>
            </w:pPr>
          </w:p>
        </w:tc>
        <w:tc>
          <w:tcPr>
            <w:tcW w:w="2575" w:type="dxa"/>
            <w:gridSpan w:val="4"/>
            <w:vAlign w:val="center"/>
          </w:tcPr>
          <w:p>
            <w:pPr>
              <w:pStyle w:val="32"/>
              <w:spacing w:before="128" w:line="252" w:lineRule="exact"/>
              <w:jc w:val="center"/>
              <w:rPr>
                <w:color w:val="auto"/>
                <w:sz w:val="21"/>
              </w:rPr>
            </w:pPr>
            <w:r>
              <w:rPr>
                <w:color w:val="auto"/>
                <w:sz w:val="21"/>
              </w:rPr>
              <w:t>高级职称人员</w:t>
            </w:r>
          </w:p>
        </w:tc>
        <w:tc>
          <w:tcPr>
            <w:tcW w:w="2072" w:type="dxa"/>
            <w:gridSpan w:val="2"/>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2" w:hRule="atLeast"/>
          <w:jc w:val="center"/>
        </w:trPr>
        <w:tc>
          <w:tcPr>
            <w:tcW w:w="1936" w:type="dxa"/>
          </w:tcPr>
          <w:p>
            <w:pPr>
              <w:pStyle w:val="32"/>
              <w:spacing w:before="128" w:line="251" w:lineRule="exact"/>
              <w:ind w:left="430"/>
              <w:jc w:val="both"/>
              <w:rPr>
                <w:color w:val="auto"/>
                <w:sz w:val="21"/>
              </w:rPr>
            </w:pPr>
            <w:r>
              <w:rPr>
                <w:color w:val="auto"/>
                <w:sz w:val="21"/>
              </w:rPr>
              <w:t>成立日期</w:t>
            </w:r>
          </w:p>
        </w:tc>
        <w:tc>
          <w:tcPr>
            <w:tcW w:w="2076" w:type="dxa"/>
            <w:gridSpan w:val="2"/>
          </w:tcPr>
          <w:p>
            <w:pPr>
              <w:pStyle w:val="32"/>
              <w:jc w:val="center"/>
              <w:rPr>
                <w:rFonts w:ascii="Times New Roman"/>
                <w:color w:val="auto"/>
                <w:sz w:val="20"/>
              </w:rPr>
            </w:pPr>
          </w:p>
        </w:tc>
        <w:tc>
          <w:tcPr>
            <w:tcW w:w="941" w:type="dxa"/>
            <w:vMerge w:val="continue"/>
            <w:tcBorders>
              <w:top w:val="nil"/>
            </w:tcBorders>
          </w:tcPr>
          <w:p>
            <w:pPr>
              <w:jc w:val="center"/>
              <w:rPr>
                <w:color w:val="auto"/>
                <w:sz w:val="2"/>
                <w:szCs w:val="2"/>
              </w:rPr>
            </w:pPr>
          </w:p>
        </w:tc>
        <w:tc>
          <w:tcPr>
            <w:tcW w:w="2575" w:type="dxa"/>
            <w:gridSpan w:val="4"/>
            <w:vAlign w:val="center"/>
          </w:tcPr>
          <w:p>
            <w:pPr>
              <w:pStyle w:val="32"/>
              <w:spacing w:before="128" w:line="251" w:lineRule="exact"/>
              <w:jc w:val="center"/>
              <w:rPr>
                <w:color w:val="auto"/>
                <w:sz w:val="21"/>
              </w:rPr>
            </w:pPr>
            <w:r>
              <w:rPr>
                <w:color w:val="auto"/>
                <w:sz w:val="21"/>
              </w:rPr>
              <w:t>中级职称人员</w:t>
            </w:r>
          </w:p>
        </w:tc>
        <w:tc>
          <w:tcPr>
            <w:tcW w:w="2072" w:type="dxa"/>
            <w:gridSpan w:val="2"/>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27" w:hRule="atLeast"/>
          <w:jc w:val="center"/>
        </w:trPr>
        <w:tc>
          <w:tcPr>
            <w:tcW w:w="1936" w:type="dxa"/>
            <w:vAlign w:val="center"/>
          </w:tcPr>
          <w:p>
            <w:pPr>
              <w:pStyle w:val="32"/>
              <w:spacing w:before="19" w:line="400" w:lineRule="exact"/>
              <w:ind w:left="745" w:right="106" w:hanging="630"/>
              <w:jc w:val="center"/>
              <w:rPr>
                <w:color w:val="auto"/>
                <w:sz w:val="21"/>
              </w:rPr>
            </w:pPr>
            <w:r>
              <w:rPr>
                <w:color w:val="auto"/>
                <w:sz w:val="21"/>
              </w:rPr>
              <w:t>基本账户开户银行</w:t>
            </w:r>
          </w:p>
        </w:tc>
        <w:tc>
          <w:tcPr>
            <w:tcW w:w="2076" w:type="dxa"/>
            <w:gridSpan w:val="2"/>
            <w:vAlign w:val="center"/>
          </w:tcPr>
          <w:p>
            <w:pPr>
              <w:pStyle w:val="32"/>
              <w:jc w:val="center"/>
              <w:rPr>
                <w:rFonts w:ascii="Times New Roman"/>
                <w:color w:val="auto"/>
                <w:sz w:val="20"/>
              </w:rPr>
            </w:pPr>
          </w:p>
        </w:tc>
        <w:tc>
          <w:tcPr>
            <w:tcW w:w="941" w:type="dxa"/>
            <w:vMerge w:val="continue"/>
            <w:tcBorders>
              <w:top w:val="nil"/>
            </w:tcBorders>
            <w:vAlign w:val="center"/>
          </w:tcPr>
          <w:p>
            <w:pPr>
              <w:jc w:val="center"/>
              <w:rPr>
                <w:color w:val="auto"/>
                <w:sz w:val="2"/>
                <w:szCs w:val="2"/>
              </w:rPr>
            </w:pPr>
          </w:p>
        </w:tc>
        <w:tc>
          <w:tcPr>
            <w:tcW w:w="2575" w:type="dxa"/>
            <w:gridSpan w:val="4"/>
            <w:vAlign w:val="center"/>
          </w:tcPr>
          <w:p>
            <w:pPr>
              <w:pStyle w:val="32"/>
              <w:jc w:val="center"/>
              <w:rPr>
                <w:color w:val="auto"/>
                <w:sz w:val="21"/>
              </w:rPr>
            </w:pPr>
            <w:r>
              <w:rPr>
                <w:color w:val="auto"/>
                <w:sz w:val="21"/>
              </w:rPr>
              <w:t>初级职称人员</w:t>
            </w:r>
          </w:p>
        </w:tc>
        <w:tc>
          <w:tcPr>
            <w:tcW w:w="2072" w:type="dxa"/>
            <w:gridSpan w:val="2"/>
            <w:vAlign w:val="center"/>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8" w:hRule="atLeast"/>
          <w:jc w:val="center"/>
        </w:trPr>
        <w:tc>
          <w:tcPr>
            <w:tcW w:w="1936" w:type="dxa"/>
          </w:tcPr>
          <w:p>
            <w:pPr>
              <w:pStyle w:val="32"/>
              <w:spacing w:line="400" w:lineRule="exact"/>
              <w:ind w:left="745" w:right="106" w:hanging="630"/>
              <w:jc w:val="center"/>
              <w:rPr>
                <w:color w:val="auto"/>
                <w:sz w:val="21"/>
              </w:rPr>
            </w:pPr>
            <w:r>
              <w:rPr>
                <w:color w:val="auto"/>
                <w:sz w:val="21"/>
              </w:rPr>
              <w:t>基本账户银行账号</w:t>
            </w:r>
          </w:p>
        </w:tc>
        <w:tc>
          <w:tcPr>
            <w:tcW w:w="2076" w:type="dxa"/>
            <w:gridSpan w:val="2"/>
          </w:tcPr>
          <w:p>
            <w:pPr>
              <w:pStyle w:val="32"/>
              <w:jc w:val="center"/>
              <w:rPr>
                <w:rFonts w:ascii="Times New Roman"/>
                <w:color w:val="auto"/>
                <w:sz w:val="20"/>
              </w:rPr>
            </w:pPr>
          </w:p>
        </w:tc>
        <w:tc>
          <w:tcPr>
            <w:tcW w:w="941" w:type="dxa"/>
            <w:vMerge w:val="continue"/>
            <w:tcBorders>
              <w:top w:val="nil"/>
            </w:tcBorders>
          </w:tcPr>
          <w:p>
            <w:pPr>
              <w:jc w:val="center"/>
              <w:rPr>
                <w:color w:val="auto"/>
                <w:sz w:val="2"/>
                <w:szCs w:val="2"/>
              </w:rPr>
            </w:pPr>
          </w:p>
        </w:tc>
        <w:tc>
          <w:tcPr>
            <w:tcW w:w="2575" w:type="dxa"/>
            <w:gridSpan w:val="4"/>
          </w:tcPr>
          <w:p>
            <w:pPr>
              <w:pStyle w:val="32"/>
              <w:spacing w:before="2"/>
              <w:jc w:val="center"/>
              <w:rPr>
                <w:color w:val="auto"/>
                <w:sz w:val="24"/>
              </w:rPr>
            </w:pPr>
          </w:p>
          <w:p>
            <w:pPr>
              <w:pStyle w:val="32"/>
              <w:ind w:left="898" w:right="895"/>
              <w:jc w:val="center"/>
              <w:rPr>
                <w:color w:val="auto"/>
                <w:sz w:val="21"/>
              </w:rPr>
            </w:pPr>
            <w:r>
              <w:rPr>
                <w:color w:val="auto"/>
                <w:sz w:val="21"/>
              </w:rPr>
              <w:t>技工</w:t>
            </w:r>
          </w:p>
        </w:tc>
        <w:tc>
          <w:tcPr>
            <w:tcW w:w="2072" w:type="dxa"/>
            <w:gridSpan w:val="2"/>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7" w:hRule="atLeast"/>
          <w:jc w:val="center"/>
        </w:trPr>
        <w:tc>
          <w:tcPr>
            <w:tcW w:w="1936" w:type="dxa"/>
          </w:tcPr>
          <w:p>
            <w:pPr>
              <w:pStyle w:val="32"/>
              <w:spacing w:before="2"/>
              <w:jc w:val="center"/>
              <w:rPr>
                <w:color w:val="auto"/>
                <w:sz w:val="24"/>
              </w:rPr>
            </w:pPr>
          </w:p>
          <w:p>
            <w:pPr>
              <w:pStyle w:val="32"/>
              <w:ind w:left="535"/>
              <w:jc w:val="both"/>
              <w:rPr>
                <w:color w:val="auto"/>
                <w:sz w:val="21"/>
              </w:rPr>
            </w:pPr>
            <w:r>
              <w:rPr>
                <w:color w:val="auto"/>
                <w:sz w:val="21"/>
              </w:rPr>
              <w:t>经营范围</w:t>
            </w:r>
          </w:p>
        </w:tc>
        <w:tc>
          <w:tcPr>
            <w:tcW w:w="7664" w:type="dxa"/>
            <w:gridSpan w:val="9"/>
          </w:tcPr>
          <w:p>
            <w:pPr>
              <w:pStyle w:val="32"/>
              <w:jc w:val="center"/>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83" w:hRule="atLeast"/>
          <w:jc w:val="center"/>
        </w:trPr>
        <w:tc>
          <w:tcPr>
            <w:tcW w:w="1936" w:type="dxa"/>
          </w:tcPr>
          <w:p>
            <w:pPr>
              <w:pStyle w:val="32"/>
              <w:spacing w:before="129" w:line="251" w:lineRule="exact"/>
              <w:ind w:left="620" w:right="611"/>
              <w:jc w:val="center"/>
              <w:rPr>
                <w:color w:val="auto"/>
                <w:sz w:val="21"/>
              </w:rPr>
            </w:pPr>
            <w:r>
              <w:rPr>
                <w:color w:val="auto"/>
                <w:sz w:val="21"/>
              </w:rPr>
              <w:t>备注</w:t>
            </w:r>
          </w:p>
        </w:tc>
        <w:tc>
          <w:tcPr>
            <w:tcW w:w="7664" w:type="dxa"/>
            <w:gridSpan w:val="9"/>
          </w:tcPr>
          <w:p>
            <w:pPr>
              <w:pStyle w:val="32"/>
              <w:rPr>
                <w:rFonts w:ascii="Times New Roman"/>
                <w:color w:val="auto"/>
                <w:sz w:val="20"/>
              </w:rPr>
            </w:pPr>
          </w:p>
        </w:tc>
      </w:tr>
    </w:tbl>
    <w:p>
      <w:pPr>
        <w:pStyle w:val="13"/>
        <w:spacing w:before="46" w:line="285" w:lineRule="auto"/>
        <w:ind w:left="1260" w:right="3" w:hanging="1260"/>
        <w:rPr>
          <w:color w:val="auto"/>
        </w:rPr>
      </w:pPr>
      <w:r>
        <w:rPr>
          <w:color w:val="auto"/>
        </w:rPr>
        <w:t>注：</w:t>
      </w:r>
      <w:r>
        <w:rPr>
          <w:rFonts w:hint="eastAsia"/>
          <w:color w:val="auto"/>
          <w:sz w:val="21"/>
          <w:lang w:val="en-US" w:eastAsia="zh-CN"/>
        </w:rPr>
        <w:t>投标</w:t>
      </w:r>
      <w:r>
        <w:rPr>
          <w:color w:val="auto"/>
        </w:rPr>
        <w:t>人应根据</w:t>
      </w:r>
      <w:r>
        <w:rPr>
          <w:rFonts w:hint="eastAsia"/>
          <w:color w:val="auto"/>
        </w:rPr>
        <w:t>招标</w:t>
      </w:r>
      <w:r>
        <w:rPr>
          <w:color w:val="auto"/>
        </w:rPr>
        <w:t>文件第二章“</w:t>
      </w:r>
      <w:r>
        <w:rPr>
          <w:rFonts w:hint="eastAsia"/>
          <w:color w:val="auto"/>
          <w:sz w:val="21"/>
          <w:lang w:val="en-US" w:eastAsia="zh-CN"/>
        </w:rPr>
        <w:t>投标</w:t>
      </w:r>
      <w:r>
        <w:rPr>
          <w:color w:val="auto"/>
        </w:rPr>
        <w:t>人须知”第3.</w:t>
      </w:r>
      <w:r>
        <w:rPr>
          <w:rFonts w:hint="eastAsia"/>
          <w:color w:val="auto"/>
          <w:lang w:val="en-US"/>
        </w:rPr>
        <w:t>5.1</w:t>
      </w:r>
      <w:r>
        <w:rPr>
          <w:color w:val="auto"/>
        </w:rPr>
        <w:t>项的要求在本表后附相关证明材料。</w:t>
      </w:r>
    </w:p>
    <w:p>
      <w:pPr>
        <w:pStyle w:val="31"/>
        <w:tabs>
          <w:tab w:val="left" w:pos="1354"/>
        </w:tabs>
        <w:spacing w:before="1"/>
        <w:ind w:left="0" w:firstLineChars="200"/>
        <w:rPr>
          <w:color w:val="auto"/>
          <w:sz w:val="21"/>
        </w:rPr>
      </w:pPr>
    </w:p>
    <w:p>
      <w:pPr>
        <w:rPr>
          <w:color w:val="auto"/>
          <w:sz w:val="21"/>
        </w:rPr>
      </w:pPr>
    </w:p>
    <w:p>
      <w:pPr>
        <w:rPr>
          <w:color w:val="auto"/>
          <w:sz w:val="21"/>
        </w:rPr>
      </w:pPr>
    </w:p>
    <w:p>
      <w:pPr>
        <w:rPr>
          <w:color w:val="auto"/>
          <w:sz w:val="21"/>
        </w:rPr>
      </w:pPr>
    </w:p>
    <w:p>
      <w:pPr>
        <w:rPr>
          <w:color w:val="auto"/>
          <w:sz w:val="21"/>
        </w:rPr>
      </w:pPr>
    </w:p>
    <w:p>
      <w:pPr>
        <w:rPr>
          <w:color w:val="auto"/>
          <w:sz w:val="21"/>
        </w:rPr>
      </w:pPr>
    </w:p>
    <w:p>
      <w:pPr>
        <w:rPr>
          <w:color w:val="auto"/>
          <w:sz w:val="24"/>
          <w:szCs w:val="24"/>
        </w:rPr>
      </w:pPr>
      <w:r>
        <w:rPr>
          <w:color w:val="auto"/>
          <w:sz w:val="24"/>
          <w:szCs w:val="24"/>
        </w:rPr>
        <w:br w:type="page"/>
      </w:r>
    </w:p>
    <w:p>
      <w:pPr>
        <w:pStyle w:val="13"/>
        <w:spacing w:before="157"/>
        <w:ind w:left="555"/>
        <w:rPr>
          <w:color w:val="auto"/>
          <w:sz w:val="24"/>
          <w:szCs w:val="24"/>
        </w:rPr>
      </w:pPr>
      <w:r>
        <w:rPr>
          <w:color w:val="auto"/>
          <w:sz w:val="24"/>
          <w:szCs w:val="24"/>
        </w:rPr>
        <w:t>(二)投标人企业组织机构框图</w:t>
      </w:r>
    </w:p>
    <w:p>
      <w:pPr>
        <w:pStyle w:val="13"/>
        <w:spacing w:before="12"/>
        <w:rPr>
          <w:color w:val="auto"/>
          <w:sz w:val="16"/>
        </w:rPr>
      </w:pPr>
    </w:p>
    <w:p>
      <w:pPr>
        <w:pStyle w:val="13"/>
        <w:spacing w:before="1"/>
        <w:rPr>
          <w:color w:val="auto"/>
          <w:sz w:val="11"/>
        </w:rPr>
        <w:sectPr>
          <w:pgSz w:w="11911" w:h="16838"/>
          <w:pgMar w:top="1247" w:right="1134" w:bottom="1247" w:left="1134" w:header="737" w:footer="850" w:gutter="0"/>
          <w:pgNumType w:fmt="numberInDash"/>
          <w:cols w:space="0" w:num="1"/>
          <w:rtlGutter w:val="0"/>
          <w:docGrid w:linePitch="0" w:charSpace="0"/>
        </w:sectPr>
      </w:pPr>
      <w:r>
        <w:rPr>
          <w:color w:val="auto"/>
        </w:rPr>
        <mc:AlternateContent>
          <mc:Choice Requires="wpg">
            <w:drawing>
              <wp:anchor distT="0" distB="0" distL="114300" distR="114300" simplePos="0" relativeHeight="251669504" behindDoc="0" locked="0" layoutInCell="1" allowOverlap="1">
                <wp:simplePos x="0" y="0"/>
                <wp:positionH relativeFrom="page">
                  <wp:posOffset>1007110</wp:posOffset>
                </wp:positionH>
                <wp:positionV relativeFrom="paragraph">
                  <wp:posOffset>120015</wp:posOffset>
                </wp:positionV>
                <wp:extent cx="5577840" cy="6837045"/>
                <wp:effectExtent l="0" t="0" r="22860" b="1905"/>
                <wp:wrapTopAndBottom/>
                <wp:docPr id="61" name="组合 61"/>
                <wp:cNvGraphicFramePr/>
                <a:graphic xmlns:a="http://schemas.openxmlformats.org/drawingml/2006/main">
                  <a:graphicData uri="http://schemas.microsoft.com/office/word/2010/wordprocessingGroup">
                    <wpg:wgp>
                      <wpg:cNvGrpSpPr/>
                      <wpg:grpSpPr>
                        <a:xfrm>
                          <a:off x="0" y="0"/>
                          <a:ext cx="5577840" cy="6837045"/>
                          <a:chOff x="1586" y="189"/>
                          <a:chExt cx="8784" cy="10767"/>
                        </a:xfrm>
                        <a:effectLst/>
                      </wpg:grpSpPr>
                      <wps:wsp>
                        <wps:cNvPr id="54" name="直线 164"/>
                        <wps:cNvCnPr/>
                        <wps:spPr>
                          <a:xfrm>
                            <a:off x="1586" y="196"/>
                            <a:ext cx="8777" cy="0"/>
                          </a:xfrm>
                          <a:prstGeom prst="line">
                            <a:avLst/>
                          </a:prstGeom>
                          <a:ln w="9144" cap="flat" cmpd="sng">
                            <a:solidFill>
                              <a:srgbClr val="000000"/>
                            </a:solidFill>
                            <a:prstDash val="solid"/>
                            <a:headEnd type="none" w="med" len="med"/>
                            <a:tailEnd type="none" w="med" len="med"/>
                          </a:ln>
                          <a:effectLst/>
                        </wps:spPr>
                        <wps:bodyPr/>
                      </wps:wsp>
                      <wps:wsp>
                        <wps:cNvPr id="55" name="直线 165"/>
                        <wps:cNvCnPr/>
                        <wps:spPr>
                          <a:xfrm>
                            <a:off x="1601" y="7532"/>
                            <a:ext cx="8762" cy="0"/>
                          </a:xfrm>
                          <a:prstGeom prst="line">
                            <a:avLst/>
                          </a:prstGeom>
                          <a:ln w="9144" cap="flat" cmpd="sng">
                            <a:solidFill>
                              <a:srgbClr val="000000"/>
                            </a:solidFill>
                            <a:prstDash val="solid"/>
                            <a:headEnd type="none" w="med" len="med"/>
                            <a:tailEnd type="none" w="med" len="med"/>
                          </a:ln>
                          <a:effectLst/>
                        </wps:spPr>
                        <wps:bodyPr/>
                      </wps:wsp>
                      <wps:wsp>
                        <wps:cNvPr id="56" name="直线 166"/>
                        <wps:cNvCnPr/>
                        <wps:spPr>
                          <a:xfrm>
                            <a:off x="1594" y="189"/>
                            <a:ext cx="0" cy="10767"/>
                          </a:xfrm>
                          <a:prstGeom prst="line">
                            <a:avLst/>
                          </a:prstGeom>
                          <a:ln w="9144" cap="flat" cmpd="sng">
                            <a:solidFill>
                              <a:srgbClr val="000000"/>
                            </a:solidFill>
                            <a:prstDash val="solid"/>
                            <a:headEnd type="none" w="med" len="med"/>
                            <a:tailEnd type="none" w="med" len="med"/>
                          </a:ln>
                          <a:effectLst/>
                        </wps:spPr>
                        <wps:bodyPr/>
                      </wps:wsp>
                      <wps:wsp>
                        <wps:cNvPr id="57" name="直线 167"/>
                        <wps:cNvCnPr/>
                        <wps:spPr>
                          <a:xfrm>
                            <a:off x="1586" y="10948"/>
                            <a:ext cx="8777" cy="0"/>
                          </a:xfrm>
                          <a:prstGeom prst="line">
                            <a:avLst/>
                          </a:prstGeom>
                          <a:ln w="9144" cap="flat" cmpd="sng">
                            <a:solidFill>
                              <a:srgbClr val="000000"/>
                            </a:solidFill>
                            <a:prstDash val="solid"/>
                            <a:headEnd type="none" w="med" len="med"/>
                            <a:tailEnd type="none" w="med" len="med"/>
                          </a:ln>
                          <a:effectLst/>
                        </wps:spPr>
                        <wps:bodyPr/>
                      </wps:wsp>
                      <wps:wsp>
                        <wps:cNvPr id="58" name="直线 168"/>
                        <wps:cNvCnPr/>
                        <wps:spPr>
                          <a:xfrm>
                            <a:off x="10370" y="189"/>
                            <a:ext cx="0" cy="10767"/>
                          </a:xfrm>
                          <a:prstGeom prst="line">
                            <a:avLst/>
                          </a:prstGeom>
                          <a:ln w="9144" cap="flat" cmpd="sng">
                            <a:solidFill>
                              <a:srgbClr val="000000"/>
                            </a:solidFill>
                            <a:prstDash val="solid"/>
                            <a:headEnd type="none" w="med" len="med"/>
                            <a:tailEnd type="none" w="med" len="med"/>
                          </a:ln>
                          <a:effectLst/>
                        </wps:spPr>
                        <wps:bodyPr/>
                      </wps:wsp>
                      <wps:wsp>
                        <wps:cNvPr id="59" name="文本框 169"/>
                        <wps:cNvSpPr txBox="1"/>
                        <wps:spPr>
                          <a:xfrm>
                            <a:off x="1971" y="7697"/>
                            <a:ext cx="827" cy="396"/>
                          </a:xfrm>
                          <a:prstGeom prst="rect">
                            <a:avLst/>
                          </a:prstGeom>
                          <a:noFill/>
                          <a:ln w="9525">
                            <a:noFill/>
                          </a:ln>
                          <a:effectLst/>
                        </wps:spPr>
                        <wps:txbx>
                          <w:txbxContent>
                            <w:p>
                              <w:pPr>
                                <w:spacing w:line="360" w:lineRule="auto"/>
                                <w:rPr>
                                  <w:sz w:val="21"/>
                                </w:rPr>
                              </w:pPr>
                              <w:bookmarkStart w:id="19" w:name="_bookmark14"/>
                              <w:bookmarkEnd w:id="19"/>
                              <w:r>
                                <w:rPr>
                                  <w:sz w:val="21"/>
                                </w:rPr>
                                <w:t>说明</w:t>
                              </w:r>
                            </w:p>
                          </w:txbxContent>
                        </wps:txbx>
                        <wps:bodyPr lIns="0" tIns="0" rIns="0" bIns="0" upright="1"/>
                      </wps:wsp>
                      <wps:wsp>
                        <wps:cNvPr id="60" name="文本框 170"/>
                        <wps:cNvSpPr txBox="1"/>
                        <wps:spPr>
                          <a:xfrm>
                            <a:off x="1971" y="782"/>
                            <a:ext cx="1700" cy="310"/>
                          </a:xfrm>
                          <a:prstGeom prst="rect">
                            <a:avLst/>
                          </a:prstGeom>
                          <a:noFill/>
                          <a:ln w="9525">
                            <a:noFill/>
                          </a:ln>
                          <a:effectLst/>
                        </wps:spPr>
                        <wps:txbx>
                          <w:txbxContent>
                            <w:p>
                              <w:pPr>
                                <w:spacing w:line="360" w:lineRule="auto"/>
                                <w:rPr>
                                  <w:sz w:val="21"/>
                                </w:rPr>
                              </w:pPr>
                              <w:r>
                                <w:rPr>
                                  <w:sz w:val="21"/>
                                </w:rPr>
                                <w:t>以框图方式表示。</w:t>
                              </w:r>
                            </w:p>
                          </w:txbxContent>
                        </wps:txbx>
                        <wps:bodyPr lIns="0" tIns="0" rIns="0" bIns="0" upright="1"/>
                      </wps:wsp>
                    </wpg:wgp>
                  </a:graphicData>
                </a:graphic>
              </wp:anchor>
            </w:drawing>
          </mc:Choice>
          <mc:Fallback>
            <w:pict>
              <v:group id="_x0000_s1026" o:spid="_x0000_s1026" o:spt="203" style="position:absolute;left:0pt;margin-left:79.3pt;margin-top:9.45pt;height:538.35pt;width:439.2pt;mso-position-horizontal-relative:page;mso-wrap-distance-bottom:0pt;mso-wrap-distance-top:0pt;z-index:251669504;mso-width-relative:page;mso-height-relative:page;" coordorigin="1586,189" coordsize="8784,10767" o:gfxdata="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">
                <o:lock v:ext="edit" aspectratio="f"/>
                <v:line id="直线 164" o:spid="_x0000_s1026" o:spt="20" style="position:absolute;left:1586;top:196;height:0;width:8777;" filled="f" stroked="t" coordsize="21600,21600" o:gfxdata="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SjsPMvQAA&#10;ANsAAAAPAAAAAAAAAAEAIAAAACIAAABkcnMvZG93bnJldi54bWxQSwECFAAUAAAACACHTuJAMy8F&#10;njsAAAA5AAAAEAAAAAAAAAABACAAAAAMAQAAZHJzL3NoYXBleG1sLnhtbFBLBQYAAAAABgAGAFsB&#10;AAC2AwAAAAA=&#10;">
                  <v:fill on="f" focussize="0,0"/>
                  <v:stroke weight="0.72pt" color="#000000" joinstyle="round"/>
                  <v:imagedata o:title=""/>
                  <o:lock v:ext="edit" aspectratio="f"/>
                </v:line>
                <v:line id="直线 165" o:spid="_x0000_s1026" o:spt="20" style="position:absolute;left:1601;top:7532;height:0;width:8762;" filled="f" stroked="t" coordsize="21600,21600" o:gfxdata="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9wmZXvQAA&#10;ANsAAAAPAAAAAAAAAAEAIAAAACIAAABkcnMvZG93bnJldi54bWxQSwECFAAUAAAACACHTuJAMy8F&#10;njsAAAA5AAAAEAAAAAAAAAABACAAAAAMAQAAZHJzL3NoYXBleG1sLnhtbFBLBQYAAAAABgAGAFsB&#10;AAC2AwAAAAA=&#10;">
                  <v:fill on="f" focussize="0,0"/>
                  <v:stroke weight="0.72pt" color="#000000" joinstyle="round"/>
                  <v:imagedata o:title=""/>
                  <o:lock v:ext="edit" aspectratio="f"/>
                </v:line>
                <v:line id="直线 166" o:spid="_x0000_s1026" o:spt="20" style="position:absolute;left:1594;top:189;height:10767;width:0;" filled="f" stroked="t" coordsize="21600,21600" o:gfxdata="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NEPggvQAA&#10;ANsAAAAPAAAAAAAAAAEAIAAAACIAAABkcnMvZG93bnJldi54bWxQSwECFAAUAAAACACHTuJAMy8F&#10;njsAAAA5AAAAEAAAAAAAAAABACAAAAAMAQAAZHJzL3NoYXBleG1sLnhtbFBLBQYAAAAABgAGAFsB&#10;AAC2AwAAAAA=&#10;">
                  <v:fill on="f" focussize="0,0"/>
                  <v:stroke weight="0.72pt" color="#000000" joinstyle="round"/>
                  <v:imagedata o:title=""/>
                  <o:lock v:ext="edit" aspectratio="f"/>
                </v:line>
                <v:line id="直线 167" o:spid="_x0000_s1026" o:spt="20" style="position:absolute;left:1586;top:10948;height:0;width:8777;" filled="f" stroked="t" coordsize="21600,21600" o:gfxdata="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iXF27vQAA&#10;ANsAAAAPAAAAAAAAAAEAIAAAACIAAABkcnMvZG93bnJldi54bWxQSwECFAAUAAAACACHTuJAMy8F&#10;njsAAAA5AAAAEAAAAAAAAAABACAAAAAMAQAAZHJzL3NoYXBleG1sLnhtbFBLBQYAAAAABgAGAFsB&#10;AAC2AwAAAAA=&#10;">
                  <v:fill on="f" focussize="0,0"/>
                  <v:stroke weight="0.72pt" color="#000000" joinstyle="round"/>
                  <v:imagedata o:title=""/>
                  <o:lock v:ext="edit" aspectratio="f"/>
                </v:line>
                <v:line id="直线 168" o:spid="_x0000_s1026" o:spt="20" style="position:absolute;left:10370;top:189;height:10767;width:0;" filled="f" stroked="t" coordsize="21600,21600" o:gfxdata="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w8nJugAAANsA&#10;AAAPAAAAAAAAAAEAIAAAACIAAABkcnMvZG93bnJldi54bWxQSwECFAAUAAAACACHTuJAMy8FnjsA&#10;AAA5AAAAEAAAAAAAAAABACAAAAAJAQAAZHJzL3NoYXBleG1sLnhtbFBLBQYAAAAABgAGAFsBAACz&#10;AwAAAAA=&#10;">
                  <v:fill on="f" focussize="0,0"/>
                  <v:stroke weight="0.72pt" color="#000000" joinstyle="round"/>
                  <v:imagedata o:title=""/>
                  <o:lock v:ext="edit" aspectratio="f"/>
                </v:line>
                <v:shape id="文本框 169" o:spid="_x0000_s1026" o:spt="202" type="#_x0000_t202" style="position:absolute;left:1971;top:7697;height:396;width:827;" filled="f" stroked="f" coordsize="21600,21600" o:gfxdata="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WuHlvQAA&#10;ANs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pPr>
                          <w:spacing w:line="360" w:lineRule="auto"/>
                          <w:rPr>
                            <w:sz w:val="21"/>
                          </w:rPr>
                        </w:pPr>
                        <w:bookmarkStart w:id="19" w:name="_bookmark14"/>
                        <w:bookmarkEnd w:id="19"/>
                        <w:r>
                          <w:rPr>
                            <w:sz w:val="21"/>
                          </w:rPr>
                          <w:t>说明</w:t>
                        </w:r>
                      </w:p>
                    </w:txbxContent>
                  </v:textbox>
                </v:shape>
                <v:shape id="文本框 170" o:spid="_x0000_s1026" o:spt="202" type="#_x0000_t202" style="position:absolute;left:1971;top:782;height:310;width:1700;" filled="f" stroked="f" coordsize="21600,21600" o:gfxdata="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gyCxb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spacing w:line="360" w:lineRule="auto"/>
                          <w:rPr>
                            <w:sz w:val="21"/>
                          </w:rPr>
                        </w:pPr>
                        <w:r>
                          <w:rPr>
                            <w:sz w:val="21"/>
                          </w:rPr>
                          <w:t>以框图方式表示。</w:t>
                        </w:r>
                      </w:p>
                    </w:txbxContent>
                  </v:textbox>
                </v:shape>
                <w10:wrap type="topAndBottom"/>
              </v:group>
            </w:pict>
          </mc:Fallback>
        </mc:AlternateContent>
      </w:r>
    </w:p>
    <w:p>
      <w:pPr>
        <w:pStyle w:val="13"/>
        <w:spacing w:before="159"/>
        <w:ind w:left="541"/>
        <w:rPr>
          <w:color w:val="auto"/>
        </w:rPr>
      </w:pPr>
    </w:p>
    <w:p>
      <w:pPr>
        <w:pStyle w:val="13"/>
        <w:spacing w:before="159"/>
        <w:ind w:left="541"/>
        <w:rPr>
          <w:color w:val="auto"/>
          <w:sz w:val="24"/>
          <w:szCs w:val="24"/>
        </w:rPr>
      </w:pPr>
      <w:r>
        <w:rPr>
          <w:color w:val="auto"/>
          <w:sz w:val="24"/>
          <w:szCs w:val="24"/>
        </w:rPr>
        <w:t>(三)近年财务状况表</w:t>
      </w:r>
    </w:p>
    <w:p>
      <w:pPr>
        <w:pStyle w:val="13"/>
        <w:spacing w:before="5"/>
        <w:rPr>
          <w:color w:val="auto"/>
          <w:sz w:val="11"/>
        </w:rPr>
      </w:pPr>
    </w:p>
    <w:tbl>
      <w:tblPr>
        <w:tblStyle w:val="25"/>
        <w:tblW w:w="8617" w:type="dxa"/>
        <w:tblInd w:w="52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4069"/>
        <w:gridCol w:w="900"/>
        <w:gridCol w:w="1218"/>
        <w:gridCol w:w="1217"/>
        <w:gridCol w:w="12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51" w:right="1412"/>
              <w:jc w:val="center"/>
              <w:rPr>
                <w:color w:val="auto"/>
                <w:sz w:val="21"/>
              </w:rPr>
            </w:pPr>
            <w:r>
              <w:rPr>
                <w:color w:val="auto"/>
                <w:sz w:val="21"/>
              </w:rPr>
              <w:t>项目或指标</w:t>
            </w:r>
          </w:p>
        </w:tc>
        <w:tc>
          <w:tcPr>
            <w:tcW w:w="900" w:type="dxa"/>
          </w:tcPr>
          <w:p>
            <w:pPr>
              <w:pStyle w:val="32"/>
              <w:spacing w:before="128"/>
              <w:ind w:left="224" w:right="199"/>
              <w:jc w:val="center"/>
              <w:rPr>
                <w:color w:val="auto"/>
                <w:sz w:val="21"/>
              </w:rPr>
            </w:pPr>
            <w:r>
              <w:rPr>
                <w:color w:val="auto"/>
                <w:sz w:val="21"/>
              </w:rPr>
              <w:t>单位</w:t>
            </w:r>
          </w:p>
        </w:tc>
        <w:tc>
          <w:tcPr>
            <w:tcW w:w="1218" w:type="dxa"/>
          </w:tcPr>
          <w:p>
            <w:pPr>
              <w:pStyle w:val="32"/>
              <w:tabs>
                <w:tab w:val="left" w:pos="825"/>
              </w:tabs>
              <w:spacing w:before="128"/>
              <w:ind w:left="194"/>
              <w:rPr>
                <w:color w:val="auto"/>
                <w:sz w:val="21"/>
              </w:rPr>
            </w:pPr>
            <w:r>
              <w:rPr>
                <w:rFonts w:ascii="Times New Roman" w:eastAsia="Times New Roman"/>
                <w:color w:val="auto"/>
                <w:sz w:val="21"/>
                <w:u w:val="single"/>
              </w:rPr>
              <w:tab/>
            </w:r>
            <w:r>
              <w:rPr>
                <w:color w:val="auto"/>
                <w:sz w:val="21"/>
              </w:rPr>
              <w:t>年</w:t>
            </w:r>
          </w:p>
        </w:tc>
        <w:tc>
          <w:tcPr>
            <w:tcW w:w="1217" w:type="dxa"/>
          </w:tcPr>
          <w:p>
            <w:pPr>
              <w:pStyle w:val="32"/>
              <w:tabs>
                <w:tab w:val="left" w:pos="824"/>
              </w:tabs>
              <w:spacing w:before="128"/>
              <w:ind w:left="193"/>
              <w:rPr>
                <w:color w:val="auto"/>
                <w:sz w:val="21"/>
              </w:rPr>
            </w:pPr>
            <w:r>
              <w:rPr>
                <w:rFonts w:ascii="Times New Roman" w:eastAsia="Times New Roman"/>
                <w:color w:val="auto"/>
                <w:sz w:val="21"/>
                <w:u w:val="single"/>
              </w:rPr>
              <w:tab/>
            </w:r>
            <w:r>
              <w:rPr>
                <w:color w:val="auto"/>
                <w:sz w:val="21"/>
              </w:rPr>
              <w:t>年</w:t>
            </w:r>
          </w:p>
        </w:tc>
        <w:tc>
          <w:tcPr>
            <w:tcW w:w="1213" w:type="dxa"/>
          </w:tcPr>
          <w:p>
            <w:pPr>
              <w:pStyle w:val="32"/>
              <w:tabs>
                <w:tab w:val="left" w:pos="822"/>
              </w:tabs>
              <w:spacing w:before="128"/>
              <w:ind w:left="191"/>
              <w:rPr>
                <w:color w:val="auto"/>
                <w:sz w:val="21"/>
              </w:rPr>
            </w:pPr>
            <w:r>
              <w:rPr>
                <w:rFonts w:ascii="Times New Roman" w:eastAsia="Times New Roman"/>
                <w:color w:val="auto"/>
                <w:sz w:val="21"/>
                <w:u w:val="single"/>
              </w:rPr>
              <w:tab/>
            </w:r>
            <w:r>
              <w:rPr>
                <w:color w:val="auto"/>
                <w:sz w:val="21"/>
              </w:rPr>
              <w:t>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7"/>
              <w:ind w:left="153"/>
              <w:rPr>
                <w:color w:val="auto"/>
                <w:sz w:val="21"/>
              </w:rPr>
            </w:pPr>
            <w:r>
              <w:rPr>
                <w:color w:val="auto"/>
                <w:sz w:val="21"/>
              </w:rPr>
              <w:t>一、注册资本</w:t>
            </w:r>
          </w:p>
        </w:tc>
        <w:tc>
          <w:tcPr>
            <w:tcW w:w="900" w:type="dxa"/>
          </w:tcPr>
          <w:p>
            <w:pPr>
              <w:pStyle w:val="32"/>
              <w:spacing w:before="127"/>
              <w:ind w:left="223"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 w:hRule="atLeast"/>
        </w:trPr>
        <w:tc>
          <w:tcPr>
            <w:tcW w:w="4069" w:type="dxa"/>
          </w:tcPr>
          <w:p>
            <w:pPr>
              <w:pStyle w:val="32"/>
              <w:spacing w:before="127"/>
              <w:ind w:left="153"/>
              <w:rPr>
                <w:color w:val="auto"/>
                <w:sz w:val="21"/>
              </w:rPr>
            </w:pPr>
            <w:r>
              <w:rPr>
                <w:color w:val="auto"/>
                <w:sz w:val="21"/>
              </w:rPr>
              <w:t>二、净资产</w:t>
            </w:r>
          </w:p>
        </w:tc>
        <w:tc>
          <w:tcPr>
            <w:tcW w:w="900" w:type="dxa"/>
          </w:tcPr>
          <w:p>
            <w:pPr>
              <w:pStyle w:val="32"/>
              <w:spacing w:before="127"/>
              <w:ind w:left="223"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3"/>
              <w:rPr>
                <w:color w:val="auto"/>
                <w:sz w:val="21"/>
              </w:rPr>
            </w:pPr>
            <w:r>
              <w:rPr>
                <w:color w:val="auto"/>
                <w:sz w:val="21"/>
              </w:rPr>
              <w:t>三、总资产</w:t>
            </w:r>
          </w:p>
        </w:tc>
        <w:tc>
          <w:tcPr>
            <w:tcW w:w="900" w:type="dxa"/>
          </w:tcPr>
          <w:p>
            <w:pPr>
              <w:pStyle w:val="32"/>
              <w:spacing w:before="128"/>
              <w:ind w:left="223"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9"/>
              <w:ind w:left="145"/>
              <w:rPr>
                <w:color w:val="auto"/>
                <w:sz w:val="21"/>
              </w:rPr>
            </w:pPr>
            <w:r>
              <w:rPr>
                <w:color w:val="auto"/>
                <w:sz w:val="21"/>
              </w:rPr>
              <w:t>四、固定资产</w:t>
            </w:r>
          </w:p>
        </w:tc>
        <w:tc>
          <w:tcPr>
            <w:tcW w:w="900" w:type="dxa"/>
          </w:tcPr>
          <w:p>
            <w:pPr>
              <w:pStyle w:val="32"/>
              <w:spacing w:before="128"/>
              <w:ind w:left="224"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3"/>
              <w:rPr>
                <w:color w:val="auto"/>
                <w:sz w:val="21"/>
              </w:rPr>
            </w:pPr>
            <w:r>
              <w:rPr>
                <w:color w:val="auto"/>
                <w:sz w:val="21"/>
              </w:rPr>
              <w:t>五、流动资产</w:t>
            </w:r>
          </w:p>
        </w:tc>
        <w:tc>
          <w:tcPr>
            <w:tcW w:w="900" w:type="dxa"/>
          </w:tcPr>
          <w:p>
            <w:pPr>
              <w:pStyle w:val="32"/>
              <w:spacing w:before="128"/>
              <w:ind w:left="224"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7"/>
              <w:ind w:left="153"/>
              <w:rPr>
                <w:color w:val="auto"/>
                <w:sz w:val="21"/>
              </w:rPr>
            </w:pPr>
            <w:r>
              <w:rPr>
                <w:color w:val="auto"/>
                <w:sz w:val="21"/>
              </w:rPr>
              <w:t>六、流动负债</w:t>
            </w:r>
          </w:p>
        </w:tc>
        <w:tc>
          <w:tcPr>
            <w:tcW w:w="900" w:type="dxa"/>
          </w:tcPr>
          <w:p>
            <w:pPr>
              <w:pStyle w:val="32"/>
              <w:spacing w:before="127"/>
              <w:ind w:left="224"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7"/>
              <w:ind w:left="153"/>
              <w:rPr>
                <w:color w:val="auto"/>
                <w:sz w:val="21"/>
              </w:rPr>
            </w:pPr>
            <w:r>
              <w:rPr>
                <w:color w:val="auto"/>
                <w:sz w:val="21"/>
              </w:rPr>
              <w:t>七、负债合计</w:t>
            </w:r>
          </w:p>
        </w:tc>
        <w:tc>
          <w:tcPr>
            <w:tcW w:w="900" w:type="dxa"/>
          </w:tcPr>
          <w:p>
            <w:pPr>
              <w:pStyle w:val="32"/>
              <w:spacing w:before="127"/>
              <w:ind w:left="224"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 w:hRule="atLeast"/>
        </w:trPr>
        <w:tc>
          <w:tcPr>
            <w:tcW w:w="4069" w:type="dxa"/>
          </w:tcPr>
          <w:p>
            <w:pPr>
              <w:pStyle w:val="32"/>
              <w:spacing w:before="127"/>
              <w:ind w:left="153"/>
              <w:rPr>
                <w:color w:val="auto"/>
                <w:sz w:val="21"/>
              </w:rPr>
            </w:pPr>
            <w:r>
              <w:rPr>
                <w:color w:val="auto"/>
                <w:sz w:val="21"/>
              </w:rPr>
              <w:t>八、营业收入</w:t>
            </w:r>
          </w:p>
        </w:tc>
        <w:tc>
          <w:tcPr>
            <w:tcW w:w="900" w:type="dxa"/>
          </w:tcPr>
          <w:p>
            <w:pPr>
              <w:pStyle w:val="32"/>
              <w:spacing w:before="127"/>
              <w:ind w:left="224"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3"/>
              <w:rPr>
                <w:color w:val="auto"/>
                <w:sz w:val="21"/>
              </w:rPr>
            </w:pPr>
            <w:r>
              <w:rPr>
                <w:color w:val="auto"/>
                <w:sz w:val="21"/>
              </w:rPr>
              <w:t>九、净利润</w:t>
            </w:r>
          </w:p>
        </w:tc>
        <w:tc>
          <w:tcPr>
            <w:tcW w:w="900" w:type="dxa"/>
          </w:tcPr>
          <w:p>
            <w:pPr>
              <w:pStyle w:val="32"/>
              <w:spacing w:before="128"/>
              <w:ind w:left="223"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3"/>
              <w:rPr>
                <w:color w:val="auto"/>
                <w:sz w:val="21"/>
              </w:rPr>
            </w:pPr>
            <w:r>
              <w:rPr>
                <w:color w:val="auto"/>
                <w:sz w:val="21"/>
              </w:rPr>
              <w:t>十、现金流量净额</w:t>
            </w:r>
          </w:p>
        </w:tc>
        <w:tc>
          <w:tcPr>
            <w:tcW w:w="900" w:type="dxa"/>
          </w:tcPr>
          <w:p>
            <w:pPr>
              <w:pStyle w:val="32"/>
              <w:spacing w:before="128"/>
              <w:ind w:left="223" w:right="200"/>
              <w:jc w:val="center"/>
              <w:rPr>
                <w:color w:val="auto"/>
                <w:sz w:val="21"/>
              </w:rPr>
            </w:pPr>
            <w:r>
              <w:rPr>
                <w:color w:val="auto"/>
                <w:sz w:val="21"/>
              </w:rPr>
              <w:t>万元</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153"/>
              <w:rPr>
                <w:color w:val="auto"/>
                <w:sz w:val="21"/>
              </w:rPr>
            </w:pPr>
            <w:r>
              <w:rPr>
                <w:color w:val="auto"/>
                <w:sz w:val="21"/>
              </w:rPr>
              <w:t>十一、主要财务指标</w:t>
            </w:r>
          </w:p>
        </w:tc>
        <w:tc>
          <w:tcPr>
            <w:tcW w:w="900" w:type="dxa"/>
          </w:tcPr>
          <w:p>
            <w:pPr>
              <w:pStyle w:val="32"/>
              <w:rPr>
                <w:rFonts w:ascii="Times New Roman"/>
                <w:color w:val="auto"/>
                <w:sz w:val="18"/>
              </w:rPr>
            </w:pP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7"/>
              <w:ind w:left="950"/>
              <w:rPr>
                <w:color w:val="auto"/>
                <w:sz w:val="21"/>
              </w:rPr>
            </w:pPr>
            <w:r>
              <w:rPr>
                <w:color w:val="auto"/>
                <w:sz w:val="21"/>
              </w:rPr>
              <w:t>1.净资产收益率</w:t>
            </w:r>
          </w:p>
        </w:tc>
        <w:tc>
          <w:tcPr>
            <w:tcW w:w="900" w:type="dxa"/>
          </w:tcPr>
          <w:p>
            <w:pPr>
              <w:pStyle w:val="32"/>
              <w:spacing w:before="127"/>
              <w:ind w:left="24"/>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7"/>
              <w:ind w:left="950"/>
              <w:rPr>
                <w:color w:val="auto"/>
                <w:sz w:val="21"/>
              </w:rPr>
            </w:pPr>
            <w:r>
              <w:rPr>
                <w:color w:val="auto"/>
                <w:sz w:val="21"/>
              </w:rPr>
              <w:t>2.总资产报酬率</w:t>
            </w:r>
          </w:p>
        </w:tc>
        <w:tc>
          <w:tcPr>
            <w:tcW w:w="900" w:type="dxa"/>
          </w:tcPr>
          <w:p>
            <w:pPr>
              <w:pStyle w:val="32"/>
              <w:spacing w:before="127"/>
              <w:ind w:left="24"/>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 w:hRule="atLeast"/>
        </w:trPr>
        <w:tc>
          <w:tcPr>
            <w:tcW w:w="4069" w:type="dxa"/>
          </w:tcPr>
          <w:p>
            <w:pPr>
              <w:pStyle w:val="32"/>
              <w:spacing w:before="127"/>
              <w:ind w:left="950"/>
              <w:rPr>
                <w:color w:val="auto"/>
                <w:sz w:val="21"/>
              </w:rPr>
            </w:pPr>
            <w:r>
              <w:rPr>
                <w:color w:val="auto"/>
                <w:sz w:val="21"/>
              </w:rPr>
              <w:t>3.主营业务利润率</w:t>
            </w:r>
          </w:p>
        </w:tc>
        <w:tc>
          <w:tcPr>
            <w:tcW w:w="900" w:type="dxa"/>
          </w:tcPr>
          <w:p>
            <w:pPr>
              <w:pStyle w:val="32"/>
              <w:spacing w:before="127"/>
              <w:ind w:left="24"/>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950"/>
              <w:rPr>
                <w:color w:val="auto"/>
                <w:sz w:val="21"/>
              </w:rPr>
            </w:pPr>
            <w:r>
              <w:rPr>
                <w:color w:val="auto"/>
                <w:sz w:val="21"/>
              </w:rPr>
              <w:t>4.资产负债率</w:t>
            </w:r>
          </w:p>
        </w:tc>
        <w:tc>
          <w:tcPr>
            <w:tcW w:w="900" w:type="dxa"/>
          </w:tcPr>
          <w:p>
            <w:pPr>
              <w:pStyle w:val="32"/>
              <w:spacing w:before="128"/>
              <w:ind w:left="24"/>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4" w:hRule="atLeast"/>
        </w:trPr>
        <w:tc>
          <w:tcPr>
            <w:tcW w:w="4069" w:type="dxa"/>
          </w:tcPr>
          <w:p>
            <w:pPr>
              <w:pStyle w:val="32"/>
              <w:spacing w:before="128"/>
              <w:ind w:left="950"/>
              <w:rPr>
                <w:color w:val="auto"/>
                <w:sz w:val="21"/>
              </w:rPr>
            </w:pPr>
            <w:r>
              <w:rPr>
                <w:color w:val="auto"/>
                <w:sz w:val="21"/>
              </w:rPr>
              <w:t>5.流动比率</w:t>
            </w:r>
          </w:p>
        </w:tc>
        <w:tc>
          <w:tcPr>
            <w:tcW w:w="900" w:type="dxa"/>
          </w:tcPr>
          <w:p>
            <w:pPr>
              <w:pStyle w:val="32"/>
              <w:spacing w:before="128"/>
              <w:ind w:left="26"/>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53" w:hRule="atLeast"/>
        </w:trPr>
        <w:tc>
          <w:tcPr>
            <w:tcW w:w="4069" w:type="dxa"/>
          </w:tcPr>
          <w:p>
            <w:pPr>
              <w:pStyle w:val="32"/>
              <w:spacing w:before="128"/>
              <w:ind w:left="950"/>
              <w:rPr>
                <w:color w:val="auto"/>
                <w:sz w:val="21"/>
              </w:rPr>
            </w:pPr>
            <w:r>
              <w:rPr>
                <w:color w:val="auto"/>
                <w:sz w:val="21"/>
              </w:rPr>
              <w:t>6.速动比率</w:t>
            </w:r>
          </w:p>
        </w:tc>
        <w:tc>
          <w:tcPr>
            <w:tcW w:w="900" w:type="dxa"/>
          </w:tcPr>
          <w:p>
            <w:pPr>
              <w:pStyle w:val="32"/>
              <w:spacing w:before="128"/>
              <w:ind w:left="26"/>
              <w:jc w:val="center"/>
              <w:rPr>
                <w:color w:val="auto"/>
                <w:sz w:val="21"/>
              </w:rPr>
            </w:pPr>
            <w:r>
              <w:rPr>
                <w:color w:val="auto"/>
                <w:sz w:val="21"/>
              </w:rPr>
              <w:t>%</w:t>
            </w:r>
          </w:p>
        </w:tc>
        <w:tc>
          <w:tcPr>
            <w:tcW w:w="1218" w:type="dxa"/>
          </w:tcPr>
          <w:p>
            <w:pPr>
              <w:pStyle w:val="32"/>
              <w:rPr>
                <w:rFonts w:ascii="Times New Roman"/>
                <w:color w:val="auto"/>
                <w:sz w:val="18"/>
              </w:rPr>
            </w:pPr>
          </w:p>
        </w:tc>
        <w:tc>
          <w:tcPr>
            <w:tcW w:w="1217" w:type="dxa"/>
          </w:tcPr>
          <w:p>
            <w:pPr>
              <w:pStyle w:val="32"/>
              <w:rPr>
                <w:rFonts w:ascii="Times New Roman"/>
                <w:color w:val="auto"/>
                <w:sz w:val="18"/>
              </w:rPr>
            </w:pPr>
          </w:p>
        </w:tc>
        <w:tc>
          <w:tcPr>
            <w:tcW w:w="1213" w:type="dxa"/>
          </w:tcPr>
          <w:p>
            <w:pPr>
              <w:pStyle w:val="32"/>
              <w:rPr>
                <w:rFonts w:ascii="Times New Roman"/>
                <w:color w:val="auto"/>
                <w:sz w:val="18"/>
              </w:rPr>
            </w:pPr>
          </w:p>
        </w:tc>
      </w:tr>
    </w:tbl>
    <w:p>
      <w:pPr>
        <w:pStyle w:val="13"/>
        <w:spacing w:before="7"/>
        <w:rPr>
          <w:color w:val="auto"/>
          <w:sz w:val="18"/>
        </w:rPr>
      </w:pPr>
    </w:p>
    <w:p>
      <w:pPr>
        <w:spacing w:before="75" w:line="415" w:lineRule="auto"/>
        <w:ind w:left="541" w:right="223"/>
        <w:rPr>
          <w:color w:val="auto"/>
          <w:sz w:val="18"/>
        </w:rPr>
      </w:pPr>
      <w:r>
        <w:rPr>
          <w:color w:val="auto"/>
          <w:sz w:val="18"/>
        </w:rPr>
        <w:t>注：</w:t>
      </w:r>
      <w:r>
        <w:rPr>
          <w:rFonts w:hint="eastAsia"/>
          <w:color w:val="auto"/>
          <w:sz w:val="18"/>
        </w:rPr>
        <w:t>投标</w:t>
      </w:r>
      <w:r>
        <w:rPr>
          <w:color w:val="auto"/>
          <w:spacing w:val="-2"/>
          <w:sz w:val="18"/>
        </w:rPr>
        <w:t>人应根据</w:t>
      </w:r>
      <w:r>
        <w:rPr>
          <w:rFonts w:hint="eastAsia"/>
          <w:color w:val="auto"/>
          <w:spacing w:val="-2"/>
          <w:sz w:val="18"/>
        </w:rPr>
        <w:t>招标</w:t>
      </w:r>
      <w:r>
        <w:rPr>
          <w:color w:val="auto"/>
          <w:spacing w:val="-2"/>
          <w:sz w:val="18"/>
        </w:rPr>
        <w:t>文件第二章“申请人须知”第</w:t>
      </w:r>
      <w:r>
        <w:rPr>
          <w:color w:val="auto"/>
          <w:sz w:val="18"/>
        </w:rPr>
        <w:t>3.</w:t>
      </w:r>
      <w:r>
        <w:rPr>
          <w:rFonts w:hint="eastAsia"/>
          <w:color w:val="auto"/>
          <w:sz w:val="18"/>
          <w:lang w:val="en-US"/>
        </w:rPr>
        <w:t>5</w:t>
      </w:r>
      <w:r>
        <w:rPr>
          <w:color w:val="auto"/>
          <w:sz w:val="18"/>
        </w:rPr>
        <w:t>.</w:t>
      </w:r>
      <w:r>
        <w:rPr>
          <w:rFonts w:hint="eastAsia"/>
          <w:color w:val="auto"/>
          <w:sz w:val="18"/>
          <w:lang w:val="en-US"/>
        </w:rPr>
        <w:t>2</w:t>
      </w:r>
      <w:r>
        <w:rPr>
          <w:color w:val="auto"/>
          <w:spacing w:val="-8"/>
          <w:sz w:val="18"/>
        </w:rPr>
        <w:t>项</w:t>
      </w:r>
      <w:r>
        <w:rPr>
          <w:rFonts w:hint="eastAsia"/>
          <w:color w:val="auto"/>
          <w:spacing w:val="-8"/>
          <w:sz w:val="18"/>
        </w:rPr>
        <w:t>修改内容</w:t>
      </w:r>
      <w:r>
        <w:rPr>
          <w:color w:val="auto"/>
          <w:spacing w:val="-8"/>
          <w:sz w:val="18"/>
        </w:rPr>
        <w:t>的要求在本表后附相关证明材料</w:t>
      </w:r>
      <w:r>
        <w:rPr>
          <w:color w:val="auto"/>
          <w:sz w:val="18"/>
        </w:rPr>
        <w:t>。</w:t>
      </w: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rPr>
          <w:color w:val="auto"/>
          <w:sz w:val="18"/>
        </w:rPr>
      </w:pPr>
    </w:p>
    <w:p>
      <w:pPr>
        <w:pStyle w:val="13"/>
        <w:numPr>
          <w:ilvl w:val="0"/>
          <w:numId w:val="7"/>
        </w:numPr>
        <w:spacing w:before="139" w:line="364" w:lineRule="auto"/>
        <w:ind w:left="541" w:right="390"/>
        <w:rPr>
          <w:color w:val="auto"/>
          <w:sz w:val="24"/>
          <w:szCs w:val="24"/>
        </w:rPr>
      </w:pPr>
      <w:r>
        <w:rPr>
          <w:color w:val="auto"/>
          <w:sz w:val="24"/>
          <w:szCs w:val="24"/>
        </w:rPr>
        <w:t>近年完成的类似项目情况表</w:t>
      </w:r>
    </w:p>
    <w:p>
      <w:pPr>
        <w:pStyle w:val="13"/>
        <w:spacing w:before="5"/>
        <w:rPr>
          <w:color w:val="auto"/>
          <w:sz w:val="11"/>
        </w:rPr>
      </w:pPr>
    </w:p>
    <w:tbl>
      <w:tblPr>
        <w:tblStyle w:val="25"/>
        <w:tblW w:w="8776" w:type="dxa"/>
        <w:tblInd w:w="4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36"/>
        <w:gridCol w:w="6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2336" w:type="dxa"/>
          </w:tcPr>
          <w:p>
            <w:pPr>
              <w:pStyle w:val="32"/>
              <w:spacing w:before="4"/>
              <w:rPr>
                <w:color w:val="auto"/>
                <w:sz w:val="16"/>
              </w:rPr>
            </w:pPr>
          </w:p>
          <w:p>
            <w:pPr>
              <w:pStyle w:val="32"/>
              <w:tabs>
                <w:tab w:val="left" w:pos="641"/>
              </w:tabs>
              <w:ind w:left="10"/>
              <w:jc w:val="center"/>
              <w:rPr>
                <w:color w:val="auto"/>
                <w:sz w:val="21"/>
              </w:rPr>
            </w:pPr>
            <w:r>
              <w:rPr>
                <w:color w:val="auto"/>
                <w:sz w:val="21"/>
              </w:rPr>
              <w:t>序号</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69" w:hRule="atLeast"/>
        </w:trPr>
        <w:tc>
          <w:tcPr>
            <w:tcW w:w="2336" w:type="dxa"/>
          </w:tcPr>
          <w:p>
            <w:pPr>
              <w:pStyle w:val="32"/>
              <w:spacing w:before="4"/>
              <w:rPr>
                <w:color w:val="auto"/>
                <w:sz w:val="16"/>
              </w:rPr>
            </w:pPr>
          </w:p>
          <w:p>
            <w:pPr>
              <w:pStyle w:val="32"/>
              <w:ind w:left="8"/>
              <w:jc w:val="center"/>
              <w:rPr>
                <w:color w:val="auto"/>
                <w:sz w:val="21"/>
              </w:rPr>
            </w:pPr>
            <w:r>
              <w:rPr>
                <w:color w:val="auto"/>
                <w:sz w:val="21"/>
              </w:rPr>
              <w:t>项目名称</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2336" w:type="dxa"/>
          </w:tcPr>
          <w:p>
            <w:pPr>
              <w:pStyle w:val="32"/>
              <w:spacing w:before="178"/>
              <w:ind w:left="10"/>
              <w:jc w:val="center"/>
              <w:rPr>
                <w:color w:val="auto"/>
                <w:sz w:val="21"/>
              </w:rPr>
            </w:pPr>
            <w:r>
              <w:rPr>
                <w:color w:val="auto"/>
                <w:sz w:val="21"/>
              </w:rPr>
              <w:t>项目所在地</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2336" w:type="dxa"/>
          </w:tcPr>
          <w:p>
            <w:pPr>
              <w:pStyle w:val="32"/>
              <w:spacing w:before="1"/>
              <w:rPr>
                <w:color w:val="auto"/>
                <w:sz w:val="14"/>
              </w:rPr>
            </w:pPr>
          </w:p>
          <w:p>
            <w:pPr>
              <w:pStyle w:val="32"/>
              <w:ind w:left="10"/>
              <w:jc w:val="center"/>
              <w:rPr>
                <w:color w:val="auto"/>
                <w:sz w:val="21"/>
              </w:rPr>
            </w:pPr>
            <w:r>
              <w:rPr>
                <w:color w:val="auto"/>
                <w:sz w:val="21"/>
              </w:rPr>
              <w:t>发包人名称</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7" w:hRule="atLeast"/>
        </w:trPr>
        <w:tc>
          <w:tcPr>
            <w:tcW w:w="2336" w:type="dxa"/>
          </w:tcPr>
          <w:p>
            <w:pPr>
              <w:pStyle w:val="32"/>
              <w:spacing w:before="178"/>
              <w:ind w:left="10"/>
              <w:jc w:val="center"/>
              <w:rPr>
                <w:color w:val="auto"/>
                <w:sz w:val="21"/>
              </w:rPr>
            </w:pPr>
            <w:r>
              <w:rPr>
                <w:color w:val="auto"/>
                <w:sz w:val="21"/>
              </w:rPr>
              <w:t>发包人地址</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5" w:hRule="atLeast"/>
        </w:trPr>
        <w:tc>
          <w:tcPr>
            <w:tcW w:w="2336" w:type="dxa"/>
          </w:tcPr>
          <w:p>
            <w:pPr>
              <w:pStyle w:val="32"/>
              <w:spacing w:before="2"/>
              <w:rPr>
                <w:color w:val="auto"/>
                <w:sz w:val="14"/>
              </w:rPr>
            </w:pPr>
          </w:p>
          <w:p>
            <w:pPr>
              <w:pStyle w:val="32"/>
              <w:spacing w:before="1"/>
              <w:ind w:left="10"/>
              <w:jc w:val="center"/>
              <w:rPr>
                <w:color w:val="auto"/>
                <w:sz w:val="21"/>
              </w:rPr>
            </w:pPr>
            <w:r>
              <w:rPr>
                <w:color w:val="auto"/>
                <w:sz w:val="21"/>
              </w:rPr>
              <w:t>发包人电话</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0" w:hRule="atLeast"/>
        </w:trPr>
        <w:tc>
          <w:tcPr>
            <w:tcW w:w="2336" w:type="dxa"/>
          </w:tcPr>
          <w:p>
            <w:pPr>
              <w:pStyle w:val="32"/>
              <w:spacing w:before="179"/>
              <w:ind w:left="8"/>
              <w:jc w:val="center"/>
              <w:rPr>
                <w:color w:val="auto"/>
                <w:sz w:val="21"/>
              </w:rPr>
            </w:pPr>
            <w:r>
              <w:rPr>
                <w:color w:val="auto"/>
                <w:sz w:val="21"/>
              </w:rPr>
              <w:t>合同价格</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4" w:hRule="atLeast"/>
        </w:trPr>
        <w:tc>
          <w:tcPr>
            <w:tcW w:w="2336" w:type="dxa"/>
          </w:tcPr>
          <w:p>
            <w:pPr>
              <w:pStyle w:val="32"/>
              <w:spacing w:before="176"/>
              <w:ind w:left="8"/>
              <w:jc w:val="center"/>
              <w:rPr>
                <w:color w:val="auto"/>
                <w:sz w:val="21"/>
              </w:rPr>
            </w:pPr>
            <w:r>
              <w:rPr>
                <w:color w:val="auto"/>
                <w:sz w:val="21"/>
              </w:rPr>
              <w:t>开工日期</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2336" w:type="dxa"/>
            <w:vAlign w:val="center"/>
          </w:tcPr>
          <w:p>
            <w:pPr>
              <w:pStyle w:val="32"/>
              <w:spacing w:before="37" w:line="280" w:lineRule="atLeast"/>
              <w:ind w:left="957" w:right="106" w:hanging="840"/>
              <w:jc w:val="center"/>
              <w:rPr>
                <w:color w:val="auto"/>
                <w:sz w:val="21"/>
              </w:rPr>
            </w:pPr>
            <w:r>
              <w:rPr>
                <w:color w:val="auto"/>
                <w:sz w:val="21"/>
              </w:rPr>
              <w:t>交工日期</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6" w:hRule="atLeast"/>
        </w:trPr>
        <w:tc>
          <w:tcPr>
            <w:tcW w:w="2336" w:type="dxa"/>
          </w:tcPr>
          <w:p>
            <w:pPr>
              <w:pStyle w:val="32"/>
              <w:spacing w:before="177"/>
              <w:ind w:left="10"/>
              <w:jc w:val="center"/>
              <w:rPr>
                <w:color w:val="auto"/>
                <w:sz w:val="21"/>
              </w:rPr>
            </w:pPr>
            <w:r>
              <w:rPr>
                <w:color w:val="auto"/>
                <w:sz w:val="21"/>
              </w:rPr>
              <w:t>承担的工作</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5" w:hRule="atLeast"/>
        </w:trPr>
        <w:tc>
          <w:tcPr>
            <w:tcW w:w="2336" w:type="dxa"/>
          </w:tcPr>
          <w:p>
            <w:pPr>
              <w:pStyle w:val="32"/>
              <w:spacing w:before="2"/>
              <w:rPr>
                <w:color w:val="auto"/>
                <w:sz w:val="14"/>
              </w:rPr>
            </w:pPr>
          </w:p>
          <w:p>
            <w:pPr>
              <w:pStyle w:val="32"/>
              <w:spacing w:before="1"/>
              <w:ind w:left="107" w:right="-15"/>
              <w:jc w:val="center"/>
              <w:rPr>
                <w:color w:val="auto"/>
                <w:sz w:val="21"/>
              </w:rPr>
            </w:pPr>
            <w:r>
              <w:rPr>
                <w:color w:val="auto"/>
                <w:spacing w:val="-15"/>
                <w:sz w:val="21"/>
              </w:rPr>
              <w:t>工程质量</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8" w:hRule="atLeast"/>
        </w:trPr>
        <w:tc>
          <w:tcPr>
            <w:tcW w:w="2336" w:type="dxa"/>
          </w:tcPr>
          <w:p>
            <w:pPr>
              <w:pStyle w:val="32"/>
              <w:spacing w:before="178"/>
              <w:ind w:left="8"/>
              <w:jc w:val="center"/>
              <w:rPr>
                <w:color w:val="auto"/>
                <w:sz w:val="21"/>
              </w:rPr>
            </w:pPr>
            <w:r>
              <w:rPr>
                <w:color w:val="auto"/>
                <w:sz w:val="21"/>
              </w:rPr>
              <w:t>项目经理</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2336" w:type="dxa"/>
          </w:tcPr>
          <w:p>
            <w:pPr>
              <w:pStyle w:val="32"/>
              <w:spacing w:before="4"/>
              <w:rPr>
                <w:color w:val="auto"/>
                <w:sz w:val="14"/>
              </w:rPr>
            </w:pPr>
          </w:p>
          <w:p>
            <w:pPr>
              <w:pStyle w:val="32"/>
              <w:ind w:left="8"/>
              <w:jc w:val="center"/>
              <w:rPr>
                <w:color w:val="auto"/>
                <w:sz w:val="21"/>
              </w:rPr>
            </w:pPr>
            <w:r>
              <w:rPr>
                <w:color w:val="auto"/>
                <w:sz w:val="21"/>
              </w:rPr>
              <w:t>项目总工</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0" w:hRule="atLeast"/>
        </w:trPr>
        <w:tc>
          <w:tcPr>
            <w:tcW w:w="2336" w:type="dxa"/>
          </w:tcPr>
          <w:p>
            <w:pPr>
              <w:pStyle w:val="32"/>
              <w:spacing w:before="179"/>
              <w:ind w:left="10"/>
              <w:jc w:val="center"/>
              <w:rPr>
                <w:color w:val="auto"/>
                <w:sz w:val="21"/>
              </w:rPr>
            </w:pPr>
            <w:r>
              <w:rPr>
                <w:color w:val="auto"/>
                <w:sz w:val="21"/>
              </w:rPr>
              <w:t>总监理工程师及电话</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2336" w:type="dxa"/>
          </w:tcPr>
          <w:p>
            <w:pPr>
              <w:pStyle w:val="32"/>
              <w:spacing w:before="159"/>
              <w:ind w:left="8"/>
              <w:jc w:val="center"/>
              <w:rPr>
                <w:color w:val="auto"/>
                <w:sz w:val="21"/>
              </w:rPr>
            </w:pPr>
            <w:r>
              <w:rPr>
                <w:color w:val="auto"/>
                <w:sz w:val="21"/>
              </w:rPr>
              <w:t>项目描述</w:t>
            </w:r>
          </w:p>
        </w:tc>
        <w:tc>
          <w:tcPr>
            <w:tcW w:w="6440"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1" w:hRule="atLeast"/>
        </w:trPr>
        <w:tc>
          <w:tcPr>
            <w:tcW w:w="2336" w:type="dxa"/>
          </w:tcPr>
          <w:p>
            <w:pPr>
              <w:pStyle w:val="32"/>
              <w:spacing w:before="59"/>
              <w:ind w:left="8"/>
              <w:jc w:val="center"/>
              <w:rPr>
                <w:color w:val="auto"/>
                <w:sz w:val="21"/>
              </w:rPr>
            </w:pPr>
            <w:r>
              <w:rPr>
                <w:color w:val="auto"/>
                <w:sz w:val="21"/>
              </w:rPr>
              <w:t>备注</w:t>
            </w:r>
          </w:p>
        </w:tc>
        <w:tc>
          <w:tcPr>
            <w:tcW w:w="6440" w:type="dxa"/>
          </w:tcPr>
          <w:p>
            <w:pPr>
              <w:pStyle w:val="32"/>
              <w:rPr>
                <w:rFonts w:ascii="Times New Roman"/>
                <w:color w:val="auto"/>
                <w:sz w:val="18"/>
              </w:rPr>
            </w:pPr>
          </w:p>
        </w:tc>
      </w:tr>
    </w:tbl>
    <w:p>
      <w:pPr>
        <w:spacing w:before="86" w:line="331" w:lineRule="auto"/>
        <w:ind w:right="531" w:firstLine="400" w:firstLineChars="200"/>
        <w:rPr>
          <w:rFonts w:hint="eastAsia" w:eastAsia="宋体"/>
          <w:color w:val="auto"/>
          <w:sz w:val="20"/>
          <w:szCs w:val="24"/>
          <w:lang w:eastAsia="zh-CN"/>
        </w:rPr>
      </w:pPr>
      <w:r>
        <w:rPr>
          <w:color w:val="auto"/>
          <w:sz w:val="20"/>
          <w:szCs w:val="24"/>
        </w:rPr>
        <w:t>注：1.每张表格只填写一个项目，并标明序号。</w:t>
      </w:r>
    </w:p>
    <w:p>
      <w:pPr>
        <w:spacing w:before="86" w:line="331" w:lineRule="auto"/>
        <w:ind w:right="531" w:firstLine="800" w:firstLineChars="400"/>
        <w:rPr>
          <w:color w:val="auto"/>
          <w:sz w:val="20"/>
          <w:szCs w:val="24"/>
        </w:rPr>
      </w:pPr>
      <w:r>
        <w:rPr>
          <w:color w:val="auto"/>
          <w:sz w:val="20"/>
          <w:szCs w:val="24"/>
        </w:rPr>
        <w:t>2.</w:t>
      </w:r>
      <w:r>
        <w:rPr>
          <w:rFonts w:hint="eastAsia"/>
          <w:color w:val="auto"/>
          <w:sz w:val="20"/>
          <w:szCs w:val="24"/>
        </w:rPr>
        <w:t>投标</w:t>
      </w:r>
      <w:r>
        <w:rPr>
          <w:color w:val="auto"/>
          <w:sz w:val="20"/>
          <w:szCs w:val="24"/>
        </w:rPr>
        <w:t>人应根据</w:t>
      </w:r>
      <w:r>
        <w:rPr>
          <w:rFonts w:hint="eastAsia"/>
          <w:color w:val="auto"/>
          <w:sz w:val="20"/>
          <w:szCs w:val="24"/>
        </w:rPr>
        <w:t>招标</w:t>
      </w:r>
      <w:r>
        <w:rPr>
          <w:color w:val="auto"/>
          <w:sz w:val="20"/>
          <w:szCs w:val="24"/>
        </w:rPr>
        <w:t>文件第二章“申请人须知”第3.</w:t>
      </w:r>
      <w:r>
        <w:rPr>
          <w:rFonts w:hint="eastAsia"/>
          <w:color w:val="auto"/>
          <w:sz w:val="20"/>
          <w:szCs w:val="24"/>
          <w:lang w:val="en-US"/>
        </w:rPr>
        <w:t>5</w:t>
      </w:r>
      <w:r>
        <w:rPr>
          <w:color w:val="auto"/>
          <w:sz w:val="20"/>
          <w:szCs w:val="24"/>
        </w:rPr>
        <w:t>.</w:t>
      </w:r>
      <w:r>
        <w:rPr>
          <w:rFonts w:hint="eastAsia"/>
          <w:color w:val="auto"/>
          <w:sz w:val="20"/>
          <w:szCs w:val="24"/>
          <w:lang w:val="en-US"/>
        </w:rPr>
        <w:t>3</w:t>
      </w:r>
      <w:r>
        <w:rPr>
          <w:color w:val="auto"/>
          <w:sz w:val="20"/>
          <w:szCs w:val="24"/>
        </w:rPr>
        <w:t>项的要求在本表后附相关证明材料。</w:t>
      </w:r>
    </w:p>
    <w:p>
      <w:pPr>
        <w:spacing w:before="86" w:line="331" w:lineRule="auto"/>
        <w:ind w:left="792" w:leftChars="360" w:right="531" w:firstLine="0" w:firstLineChars="0"/>
        <w:rPr>
          <w:rFonts w:hint="eastAsia" w:eastAsia="宋体"/>
          <w:color w:val="auto"/>
          <w:sz w:val="18"/>
          <w:lang w:eastAsia="zh-CN"/>
        </w:rPr>
      </w:pPr>
      <w:r>
        <w:rPr>
          <w:color w:val="auto"/>
          <w:sz w:val="20"/>
          <w:szCs w:val="24"/>
        </w:rPr>
        <w:t>3.如近年来，申请人法人机构发生合法变更或重组或法人名称变更时，应提供相关部门的合法批件或其他相关证明材料来证明其所附业绩的继承性。</w:t>
      </w:r>
    </w:p>
    <w:p>
      <w:pPr>
        <w:spacing w:line="229" w:lineRule="exact"/>
        <w:rPr>
          <w:color w:val="auto"/>
          <w:sz w:val="18"/>
        </w:rPr>
        <w:sectPr>
          <w:pgSz w:w="11911" w:h="16838"/>
          <w:pgMar w:top="1247" w:right="1134" w:bottom="1247" w:left="1134" w:header="737" w:footer="850" w:gutter="0"/>
          <w:pgNumType w:fmt="numberInDash"/>
          <w:cols w:space="0" w:num="1"/>
          <w:rtlGutter w:val="0"/>
          <w:docGrid w:linePitch="0" w:charSpace="0"/>
        </w:sectPr>
      </w:pPr>
    </w:p>
    <w:p>
      <w:pPr>
        <w:pStyle w:val="13"/>
        <w:spacing w:before="159"/>
        <w:ind w:left="438"/>
        <w:rPr>
          <w:color w:val="auto"/>
        </w:rPr>
      </w:pPr>
    </w:p>
    <w:p>
      <w:pPr>
        <w:pStyle w:val="13"/>
        <w:spacing w:before="159"/>
        <w:ind w:left="438"/>
        <w:rPr>
          <w:color w:val="auto"/>
        </w:rPr>
      </w:pPr>
      <w:r>
        <w:rPr>
          <w:color w:val="auto"/>
        </w:rPr>
        <w:t>（五）投标人的信誉情况表</w:t>
      </w:r>
    </w:p>
    <w:p>
      <w:pPr>
        <w:pStyle w:val="13"/>
        <w:rPr>
          <w:color w:val="auto"/>
          <w:sz w:val="20"/>
        </w:rPr>
      </w:pPr>
    </w:p>
    <w:p>
      <w:pPr>
        <w:pStyle w:val="13"/>
        <w:spacing w:before="3"/>
        <w:rPr>
          <w:color w:val="auto"/>
          <w:sz w:val="11"/>
        </w:rPr>
      </w:pPr>
    </w:p>
    <w:tbl>
      <w:tblPr>
        <w:tblStyle w:val="25"/>
        <w:tblW w:w="8522" w:type="dxa"/>
        <w:tblInd w:w="43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261"/>
        <w:gridCol w:w="42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4261" w:type="dxa"/>
          </w:tcPr>
          <w:p>
            <w:pPr>
              <w:pStyle w:val="32"/>
              <w:spacing w:before="129" w:line="251" w:lineRule="exact"/>
              <w:ind w:left="1848" w:right="1838"/>
              <w:jc w:val="center"/>
              <w:rPr>
                <w:color w:val="auto"/>
                <w:sz w:val="21"/>
              </w:rPr>
            </w:pPr>
            <w:r>
              <w:rPr>
                <w:color w:val="auto"/>
                <w:sz w:val="21"/>
              </w:rPr>
              <w:t>项目</w:t>
            </w:r>
          </w:p>
        </w:tc>
        <w:tc>
          <w:tcPr>
            <w:tcW w:w="4261" w:type="dxa"/>
          </w:tcPr>
          <w:p>
            <w:pPr>
              <w:pStyle w:val="32"/>
              <w:spacing w:before="129" w:line="251" w:lineRule="exact"/>
              <w:ind w:left="1393"/>
              <w:rPr>
                <w:color w:val="auto"/>
                <w:sz w:val="21"/>
              </w:rPr>
            </w:pPr>
            <w:r>
              <w:rPr>
                <w:color w:val="auto"/>
                <w:sz w:val="21"/>
              </w:rPr>
              <w:t>申请人情况说明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1"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0" w:hRule="atLeast"/>
        </w:trPr>
        <w:tc>
          <w:tcPr>
            <w:tcW w:w="4261" w:type="dxa"/>
          </w:tcPr>
          <w:p>
            <w:pPr>
              <w:pStyle w:val="32"/>
              <w:rPr>
                <w:rFonts w:ascii="Times New Roman"/>
                <w:color w:val="auto"/>
                <w:sz w:val="20"/>
              </w:rPr>
            </w:pPr>
          </w:p>
        </w:tc>
        <w:tc>
          <w:tcPr>
            <w:tcW w:w="4261" w:type="dxa"/>
          </w:tcPr>
          <w:p>
            <w:pPr>
              <w:pStyle w:val="32"/>
              <w:rPr>
                <w:rFonts w:ascii="Times New Roman"/>
                <w:color w:val="auto"/>
                <w:sz w:val="20"/>
              </w:rPr>
            </w:pPr>
          </w:p>
        </w:tc>
      </w:tr>
    </w:tbl>
    <w:p>
      <w:pPr>
        <w:spacing w:before="86" w:line="331" w:lineRule="auto"/>
        <w:ind w:left="796" w:leftChars="180" w:right="531" w:hanging="400" w:hangingChars="200"/>
        <w:rPr>
          <w:color w:val="auto"/>
          <w:sz w:val="20"/>
          <w:szCs w:val="24"/>
        </w:rPr>
      </w:pPr>
      <w:r>
        <w:rPr>
          <w:color w:val="auto"/>
          <w:sz w:val="20"/>
          <w:szCs w:val="24"/>
        </w:rPr>
        <w:t>注：1.</w:t>
      </w:r>
      <w:r>
        <w:rPr>
          <w:rFonts w:hint="eastAsia"/>
          <w:color w:val="auto"/>
          <w:sz w:val="20"/>
          <w:szCs w:val="24"/>
        </w:rPr>
        <w:t>投标</w:t>
      </w:r>
      <w:r>
        <w:rPr>
          <w:color w:val="auto"/>
          <w:sz w:val="20"/>
          <w:szCs w:val="24"/>
        </w:rPr>
        <w:t>人应根据</w:t>
      </w:r>
      <w:r>
        <w:rPr>
          <w:rFonts w:hint="eastAsia"/>
          <w:color w:val="auto"/>
          <w:sz w:val="20"/>
          <w:szCs w:val="24"/>
        </w:rPr>
        <w:t>招标</w:t>
      </w:r>
      <w:r>
        <w:rPr>
          <w:color w:val="auto"/>
          <w:sz w:val="20"/>
          <w:szCs w:val="24"/>
        </w:rPr>
        <w:t>文件第二章“申请人须知”前附表附录4逐条说明其信誉情况。</w:t>
      </w:r>
    </w:p>
    <w:p>
      <w:pPr>
        <w:spacing w:before="86" w:line="331" w:lineRule="auto"/>
        <w:ind w:left="792" w:leftChars="360" w:right="531" w:firstLine="0" w:firstLineChars="0"/>
        <w:rPr>
          <w:color w:val="auto"/>
          <w:sz w:val="20"/>
          <w:szCs w:val="24"/>
        </w:rPr>
      </w:pPr>
      <w:r>
        <w:rPr>
          <w:rFonts w:hint="eastAsia"/>
          <w:color w:val="auto"/>
          <w:sz w:val="20"/>
          <w:szCs w:val="24"/>
          <w:lang w:val="en-US" w:eastAsia="zh-CN"/>
        </w:rPr>
        <w:t>2.</w:t>
      </w:r>
      <w:r>
        <w:rPr>
          <w:rFonts w:hint="eastAsia"/>
          <w:color w:val="auto"/>
          <w:sz w:val="20"/>
          <w:szCs w:val="24"/>
        </w:rPr>
        <w:t>投标</w:t>
      </w:r>
      <w:r>
        <w:rPr>
          <w:color w:val="auto"/>
          <w:sz w:val="20"/>
          <w:szCs w:val="24"/>
        </w:rPr>
        <w:t>人应根据</w:t>
      </w:r>
      <w:r>
        <w:rPr>
          <w:rFonts w:hint="eastAsia"/>
          <w:color w:val="auto"/>
          <w:sz w:val="20"/>
          <w:szCs w:val="24"/>
        </w:rPr>
        <w:t>招标</w:t>
      </w:r>
      <w:r>
        <w:rPr>
          <w:color w:val="auto"/>
          <w:sz w:val="20"/>
          <w:szCs w:val="24"/>
        </w:rPr>
        <w:t>文件第二章“申请人须知”第3.</w:t>
      </w:r>
      <w:r>
        <w:rPr>
          <w:rFonts w:hint="eastAsia"/>
          <w:color w:val="auto"/>
          <w:sz w:val="20"/>
          <w:szCs w:val="24"/>
          <w:lang w:val="en-US"/>
        </w:rPr>
        <w:t>5</w:t>
      </w:r>
      <w:r>
        <w:rPr>
          <w:color w:val="auto"/>
          <w:sz w:val="20"/>
          <w:szCs w:val="24"/>
        </w:rPr>
        <w:t>.</w:t>
      </w:r>
      <w:r>
        <w:rPr>
          <w:rFonts w:hint="eastAsia"/>
          <w:color w:val="auto"/>
          <w:sz w:val="20"/>
          <w:szCs w:val="24"/>
          <w:lang w:val="en-US"/>
        </w:rPr>
        <w:t>4</w:t>
      </w:r>
      <w:r>
        <w:rPr>
          <w:color w:val="auto"/>
          <w:sz w:val="20"/>
          <w:szCs w:val="24"/>
        </w:rPr>
        <w:t>项的</w:t>
      </w:r>
      <w:r>
        <w:rPr>
          <w:rFonts w:hint="eastAsia"/>
          <w:color w:val="auto"/>
          <w:sz w:val="20"/>
          <w:szCs w:val="24"/>
        </w:rPr>
        <w:t>修改内容的</w:t>
      </w:r>
      <w:r>
        <w:rPr>
          <w:color w:val="auto"/>
          <w:sz w:val="20"/>
          <w:szCs w:val="24"/>
        </w:rPr>
        <w:t>要求在本表后附相关证明材料。</w:t>
      </w:r>
    </w:p>
    <w:p>
      <w:pPr>
        <w:spacing w:before="86" w:line="331" w:lineRule="auto"/>
        <w:ind w:right="531" w:firstLine="400" w:firstLineChars="200"/>
        <w:rPr>
          <w:color w:val="auto"/>
          <w:sz w:val="20"/>
          <w:szCs w:val="24"/>
        </w:rPr>
      </w:pPr>
    </w:p>
    <w:p>
      <w:pPr>
        <w:rPr>
          <w:color w:val="auto"/>
          <w:sz w:val="21"/>
        </w:rPr>
        <w:sectPr>
          <w:pgSz w:w="11911" w:h="16838"/>
          <w:pgMar w:top="1247" w:right="1134" w:bottom="1247" w:left="1134" w:header="737" w:footer="850" w:gutter="0"/>
          <w:pgNumType w:fmt="numberInDash"/>
          <w:cols w:space="0" w:num="1"/>
          <w:rtlGutter w:val="0"/>
          <w:docGrid w:linePitch="0" w:charSpace="0"/>
        </w:sectPr>
      </w:pPr>
    </w:p>
    <w:p>
      <w:pPr>
        <w:pStyle w:val="13"/>
        <w:spacing w:before="140"/>
        <w:ind w:left="438"/>
        <w:rPr>
          <w:color w:val="auto"/>
        </w:rPr>
      </w:pPr>
    </w:p>
    <w:p>
      <w:pPr>
        <w:pStyle w:val="13"/>
        <w:spacing w:before="140"/>
        <w:ind w:left="438"/>
        <w:rPr>
          <w:color w:val="auto"/>
          <w:sz w:val="24"/>
          <w:szCs w:val="24"/>
        </w:rPr>
      </w:pPr>
      <w:r>
        <w:rPr>
          <w:color w:val="auto"/>
          <w:sz w:val="24"/>
          <w:szCs w:val="24"/>
        </w:rPr>
        <w:t>（六）拟委任的项目经理和项目总工</w:t>
      </w:r>
      <w:r>
        <w:rPr>
          <w:rFonts w:hint="eastAsia"/>
          <w:color w:val="auto"/>
          <w:sz w:val="24"/>
          <w:szCs w:val="24"/>
        </w:rPr>
        <w:t>资历</w:t>
      </w:r>
      <w:r>
        <w:rPr>
          <w:color w:val="auto"/>
          <w:sz w:val="24"/>
          <w:szCs w:val="24"/>
        </w:rPr>
        <w:t>表</w:t>
      </w:r>
    </w:p>
    <w:p>
      <w:pPr>
        <w:pStyle w:val="13"/>
        <w:spacing w:before="5"/>
        <w:rPr>
          <w:color w:val="auto"/>
          <w:sz w:val="11"/>
        </w:rPr>
      </w:pPr>
    </w:p>
    <w:tbl>
      <w:tblPr>
        <w:tblStyle w:val="25"/>
        <w:tblW w:w="8739" w:type="dxa"/>
        <w:tblInd w:w="5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5"/>
        <w:gridCol w:w="1183"/>
        <w:gridCol w:w="263"/>
        <w:gridCol w:w="1037"/>
        <w:gridCol w:w="1354"/>
        <w:gridCol w:w="328"/>
        <w:gridCol w:w="1512"/>
        <w:gridCol w:w="374"/>
        <w:gridCol w:w="14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5" w:hRule="atLeast"/>
        </w:trPr>
        <w:tc>
          <w:tcPr>
            <w:tcW w:w="1235" w:type="dxa"/>
          </w:tcPr>
          <w:p>
            <w:pPr>
              <w:pStyle w:val="32"/>
              <w:spacing w:before="10"/>
              <w:rPr>
                <w:color w:val="auto"/>
                <w:sz w:val="16"/>
              </w:rPr>
            </w:pPr>
          </w:p>
          <w:p>
            <w:pPr>
              <w:pStyle w:val="32"/>
              <w:tabs>
                <w:tab w:val="left" w:pos="631"/>
              </w:tabs>
              <w:ind w:right="12"/>
              <w:jc w:val="center"/>
              <w:rPr>
                <w:color w:val="auto"/>
                <w:sz w:val="21"/>
              </w:rPr>
            </w:pPr>
            <w:r>
              <w:rPr>
                <w:color w:val="auto"/>
                <w:sz w:val="21"/>
              </w:rPr>
              <w:t>姓</w:t>
            </w:r>
            <w:r>
              <w:rPr>
                <w:color w:val="auto"/>
                <w:sz w:val="21"/>
              </w:rPr>
              <w:tab/>
            </w:r>
            <w:r>
              <w:rPr>
                <w:color w:val="auto"/>
                <w:sz w:val="21"/>
              </w:rPr>
              <w:t>名</w:t>
            </w:r>
          </w:p>
        </w:tc>
        <w:tc>
          <w:tcPr>
            <w:tcW w:w="1446" w:type="dxa"/>
            <w:gridSpan w:val="2"/>
          </w:tcPr>
          <w:p>
            <w:pPr>
              <w:pStyle w:val="32"/>
              <w:rPr>
                <w:rFonts w:ascii="Times New Roman"/>
                <w:color w:val="auto"/>
                <w:sz w:val="18"/>
              </w:rPr>
            </w:pPr>
          </w:p>
        </w:tc>
        <w:tc>
          <w:tcPr>
            <w:tcW w:w="1037" w:type="dxa"/>
          </w:tcPr>
          <w:p>
            <w:pPr>
              <w:pStyle w:val="32"/>
              <w:spacing w:before="10"/>
              <w:rPr>
                <w:color w:val="auto"/>
                <w:sz w:val="16"/>
              </w:rPr>
            </w:pPr>
          </w:p>
          <w:p>
            <w:pPr>
              <w:pStyle w:val="32"/>
              <w:tabs>
                <w:tab w:val="left" w:pos="646"/>
              </w:tabs>
              <w:ind w:left="15"/>
              <w:jc w:val="center"/>
              <w:rPr>
                <w:color w:val="auto"/>
                <w:sz w:val="21"/>
              </w:rPr>
            </w:pPr>
            <w:r>
              <w:rPr>
                <w:color w:val="auto"/>
                <w:sz w:val="21"/>
              </w:rPr>
              <w:t>年</w:t>
            </w:r>
            <w:r>
              <w:rPr>
                <w:color w:val="auto"/>
                <w:sz w:val="21"/>
              </w:rPr>
              <w:tab/>
            </w:r>
            <w:r>
              <w:rPr>
                <w:color w:val="auto"/>
                <w:sz w:val="21"/>
              </w:rPr>
              <w:t>龄</w:t>
            </w:r>
          </w:p>
        </w:tc>
        <w:tc>
          <w:tcPr>
            <w:tcW w:w="1354" w:type="dxa"/>
          </w:tcPr>
          <w:p>
            <w:pPr>
              <w:pStyle w:val="32"/>
              <w:rPr>
                <w:rFonts w:ascii="Times New Roman"/>
                <w:color w:val="auto"/>
                <w:sz w:val="18"/>
              </w:rPr>
            </w:pPr>
          </w:p>
        </w:tc>
        <w:tc>
          <w:tcPr>
            <w:tcW w:w="1840" w:type="dxa"/>
            <w:gridSpan w:val="2"/>
          </w:tcPr>
          <w:p>
            <w:pPr>
              <w:pStyle w:val="32"/>
              <w:tabs>
                <w:tab w:val="left" w:pos="1134"/>
              </w:tabs>
              <w:spacing w:before="127"/>
              <w:ind w:left="503"/>
              <w:rPr>
                <w:color w:val="auto"/>
                <w:sz w:val="21"/>
              </w:rPr>
            </w:pPr>
            <w:r>
              <w:rPr>
                <w:color w:val="auto"/>
                <w:sz w:val="21"/>
              </w:rPr>
              <w:t>专</w:t>
            </w:r>
            <w:r>
              <w:rPr>
                <w:color w:val="auto"/>
                <w:sz w:val="21"/>
              </w:rPr>
              <w:tab/>
            </w:r>
            <w:r>
              <w:rPr>
                <w:color w:val="auto"/>
                <w:sz w:val="21"/>
              </w:rPr>
              <w:t>业</w:t>
            </w:r>
          </w:p>
        </w:tc>
        <w:tc>
          <w:tcPr>
            <w:tcW w:w="1827" w:type="dxa"/>
            <w:gridSpan w:val="2"/>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5" w:hRule="atLeast"/>
        </w:trPr>
        <w:tc>
          <w:tcPr>
            <w:tcW w:w="1235" w:type="dxa"/>
          </w:tcPr>
          <w:p>
            <w:pPr>
              <w:pStyle w:val="32"/>
              <w:rPr>
                <w:color w:val="auto"/>
                <w:sz w:val="20"/>
              </w:rPr>
            </w:pPr>
          </w:p>
          <w:p>
            <w:pPr>
              <w:pStyle w:val="32"/>
              <w:spacing w:before="169"/>
              <w:ind w:right="13"/>
              <w:jc w:val="center"/>
              <w:rPr>
                <w:color w:val="auto"/>
                <w:sz w:val="21"/>
              </w:rPr>
            </w:pPr>
            <w:r>
              <w:rPr>
                <w:color w:val="auto"/>
                <w:sz w:val="21"/>
              </w:rPr>
              <w:t>技术职称</w:t>
            </w:r>
          </w:p>
        </w:tc>
        <w:tc>
          <w:tcPr>
            <w:tcW w:w="1446" w:type="dxa"/>
            <w:gridSpan w:val="2"/>
          </w:tcPr>
          <w:p>
            <w:pPr>
              <w:pStyle w:val="32"/>
              <w:rPr>
                <w:rFonts w:ascii="Times New Roman"/>
                <w:color w:val="auto"/>
                <w:sz w:val="18"/>
              </w:rPr>
            </w:pPr>
          </w:p>
        </w:tc>
        <w:tc>
          <w:tcPr>
            <w:tcW w:w="1037" w:type="dxa"/>
          </w:tcPr>
          <w:p>
            <w:pPr>
              <w:pStyle w:val="32"/>
              <w:rPr>
                <w:color w:val="auto"/>
                <w:sz w:val="20"/>
              </w:rPr>
            </w:pPr>
          </w:p>
          <w:p>
            <w:pPr>
              <w:pStyle w:val="32"/>
              <w:spacing w:before="169"/>
              <w:ind w:left="13"/>
              <w:jc w:val="center"/>
              <w:rPr>
                <w:color w:val="auto"/>
                <w:sz w:val="21"/>
              </w:rPr>
            </w:pPr>
            <w:r>
              <w:rPr>
                <w:color w:val="auto"/>
                <w:sz w:val="21"/>
              </w:rPr>
              <w:t>学历</w:t>
            </w:r>
          </w:p>
        </w:tc>
        <w:tc>
          <w:tcPr>
            <w:tcW w:w="1354" w:type="dxa"/>
          </w:tcPr>
          <w:p>
            <w:pPr>
              <w:pStyle w:val="32"/>
              <w:rPr>
                <w:rFonts w:ascii="Times New Roman"/>
                <w:color w:val="auto"/>
                <w:sz w:val="18"/>
              </w:rPr>
            </w:pPr>
          </w:p>
        </w:tc>
        <w:tc>
          <w:tcPr>
            <w:tcW w:w="1840" w:type="dxa"/>
            <w:gridSpan w:val="2"/>
          </w:tcPr>
          <w:p>
            <w:pPr>
              <w:pStyle w:val="32"/>
              <w:spacing w:before="128" w:line="357" w:lineRule="auto"/>
              <w:ind w:left="503" w:right="380" w:hanging="106"/>
              <w:rPr>
                <w:color w:val="auto"/>
                <w:sz w:val="21"/>
              </w:rPr>
            </w:pPr>
            <w:r>
              <w:rPr>
                <w:color w:val="auto"/>
                <w:sz w:val="21"/>
              </w:rPr>
              <w:t>拟在本标段工程任职</w:t>
            </w:r>
          </w:p>
        </w:tc>
        <w:tc>
          <w:tcPr>
            <w:tcW w:w="1827" w:type="dxa"/>
            <w:gridSpan w:val="2"/>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1235" w:type="dxa"/>
          </w:tcPr>
          <w:p>
            <w:pPr>
              <w:pStyle w:val="32"/>
              <w:spacing w:before="179"/>
              <w:ind w:right="13"/>
              <w:jc w:val="center"/>
              <w:rPr>
                <w:color w:val="auto"/>
                <w:sz w:val="21"/>
              </w:rPr>
            </w:pPr>
            <w:r>
              <w:rPr>
                <w:color w:val="auto"/>
                <w:sz w:val="21"/>
              </w:rPr>
              <w:t>工作年限</w:t>
            </w:r>
          </w:p>
        </w:tc>
        <w:tc>
          <w:tcPr>
            <w:tcW w:w="3837" w:type="dxa"/>
            <w:gridSpan w:val="4"/>
          </w:tcPr>
          <w:p>
            <w:pPr>
              <w:pStyle w:val="32"/>
              <w:rPr>
                <w:rFonts w:ascii="Times New Roman"/>
                <w:color w:val="auto"/>
                <w:sz w:val="18"/>
              </w:rPr>
            </w:pPr>
          </w:p>
        </w:tc>
        <w:tc>
          <w:tcPr>
            <w:tcW w:w="1840" w:type="dxa"/>
            <w:gridSpan w:val="2"/>
          </w:tcPr>
          <w:p>
            <w:pPr>
              <w:pStyle w:val="32"/>
              <w:spacing w:before="127"/>
              <w:ind w:left="83"/>
              <w:rPr>
                <w:color w:val="auto"/>
                <w:sz w:val="21"/>
              </w:rPr>
            </w:pPr>
            <w:r>
              <w:rPr>
                <w:color w:val="auto"/>
                <w:sz w:val="21"/>
              </w:rPr>
              <w:t>类似施工经验年限</w:t>
            </w:r>
          </w:p>
        </w:tc>
        <w:tc>
          <w:tcPr>
            <w:tcW w:w="1827" w:type="dxa"/>
            <w:gridSpan w:val="2"/>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1235" w:type="dxa"/>
          </w:tcPr>
          <w:p>
            <w:pPr>
              <w:pStyle w:val="32"/>
              <w:spacing w:before="11"/>
              <w:rPr>
                <w:color w:val="auto"/>
                <w:sz w:val="18"/>
              </w:rPr>
            </w:pPr>
          </w:p>
          <w:p>
            <w:pPr>
              <w:pStyle w:val="32"/>
              <w:ind w:right="13"/>
              <w:jc w:val="center"/>
              <w:rPr>
                <w:color w:val="auto"/>
                <w:sz w:val="21"/>
              </w:rPr>
            </w:pPr>
            <w:r>
              <w:rPr>
                <w:color w:val="auto"/>
                <w:sz w:val="21"/>
              </w:rPr>
              <w:t>毕业学校</w:t>
            </w:r>
          </w:p>
        </w:tc>
        <w:tc>
          <w:tcPr>
            <w:tcW w:w="7504" w:type="dxa"/>
            <w:gridSpan w:val="8"/>
          </w:tcPr>
          <w:p>
            <w:pPr>
              <w:pStyle w:val="32"/>
              <w:spacing w:before="11"/>
              <w:rPr>
                <w:color w:val="auto"/>
                <w:sz w:val="18"/>
              </w:rPr>
            </w:pPr>
          </w:p>
          <w:p>
            <w:pPr>
              <w:pStyle w:val="32"/>
              <w:tabs>
                <w:tab w:val="left" w:pos="554"/>
                <w:tab w:val="left" w:pos="1078"/>
                <w:tab w:val="left" w:pos="3912"/>
                <w:tab w:val="left" w:pos="5485"/>
                <w:tab w:val="left" w:pos="7165"/>
              </w:tabs>
              <w:ind w:left="29"/>
              <w:rPr>
                <w:color w:val="auto"/>
                <w:sz w:val="21"/>
              </w:rPr>
            </w:pPr>
            <w:r>
              <w:rPr>
                <w:rFonts w:ascii="Times New Roman" w:eastAsia="Times New Roman"/>
                <w:color w:val="auto"/>
                <w:sz w:val="21"/>
                <w:u w:val="single"/>
              </w:rPr>
              <w:tab/>
            </w:r>
            <w:r>
              <w:rPr>
                <w:color w:val="auto"/>
                <w:sz w:val="21"/>
              </w:rPr>
              <w:t>年</w:t>
            </w:r>
            <w:r>
              <w:rPr>
                <w:color w:val="auto"/>
                <w:sz w:val="21"/>
                <w:u w:val="single"/>
              </w:rPr>
              <w:tab/>
            </w:r>
            <w:r>
              <w:rPr>
                <w:color w:val="auto"/>
                <w:sz w:val="21"/>
              </w:rPr>
              <w:t>月毕业于</w:t>
            </w:r>
            <w:r>
              <w:rPr>
                <w:color w:val="auto"/>
                <w:sz w:val="21"/>
                <w:u w:val="single"/>
              </w:rPr>
              <w:tab/>
            </w:r>
            <w:r>
              <w:rPr>
                <w:color w:val="auto"/>
                <w:sz w:val="21"/>
              </w:rPr>
              <w:t>学校</w:t>
            </w:r>
            <w:r>
              <w:rPr>
                <w:color w:val="auto"/>
                <w:sz w:val="21"/>
                <w:u w:val="single"/>
              </w:rPr>
              <w:tab/>
            </w:r>
            <w:r>
              <w:rPr>
                <w:color w:val="auto"/>
                <w:sz w:val="21"/>
              </w:rPr>
              <w:t>专业，学制</w:t>
            </w:r>
            <w:r>
              <w:rPr>
                <w:color w:val="auto"/>
                <w:sz w:val="21"/>
                <w:u w:val="single"/>
              </w:rPr>
              <w:tab/>
            </w:r>
            <w:r>
              <w:rPr>
                <w:color w:val="auto"/>
                <w:sz w:val="21"/>
              </w:rPr>
              <w:t>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8739" w:type="dxa"/>
            <w:gridSpan w:val="9"/>
          </w:tcPr>
          <w:p>
            <w:pPr>
              <w:pStyle w:val="32"/>
              <w:tabs>
                <w:tab w:val="left" w:pos="1172"/>
              </w:tabs>
              <w:spacing w:before="178"/>
              <w:ind w:left="17"/>
              <w:jc w:val="center"/>
              <w:rPr>
                <w:color w:val="auto"/>
                <w:sz w:val="21"/>
              </w:rPr>
            </w:pPr>
            <w:r>
              <w:rPr>
                <w:color w:val="auto"/>
                <w:sz w:val="21"/>
              </w:rPr>
              <w:t>经</w:t>
            </w:r>
            <w:r>
              <w:rPr>
                <w:color w:val="auto"/>
                <w:sz w:val="21"/>
              </w:rPr>
              <w:tab/>
            </w:r>
            <w:r>
              <w:rPr>
                <w:color w:val="auto"/>
                <w:sz w:val="21"/>
              </w:rPr>
              <w:t>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4" w:hRule="atLeast"/>
        </w:trPr>
        <w:tc>
          <w:tcPr>
            <w:tcW w:w="1235" w:type="dxa"/>
          </w:tcPr>
          <w:p>
            <w:pPr>
              <w:pStyle w:val="32"/>
              <w:rPr>
                <w:color w:val="auto"/>
                <w:sz w:val="20"/>
              </w:rPr>
            </w:pPr>
          </w:p>
          <w:p>
            <w:pPr>
              <w:pStyle w:val="32"/>
              <w:spacing w:before="168"/>
              <w:ind w:left="44" w:right="12"/>
              <w:jc w:val="center"/>
              <w:rPr>
                <w:color w:val="auto"/>
                <w:sz w:val="21"/>
              </w:rPr>
            </w:pPr>
            <w:r>
              <w:rPr>
                <w:color w:val="auto"/>
                <w:sz w:val="21"/>
              </w:rPr>
              <w:t>时间</w:t>
            </w:r>
          </w:p>
        </w:tc>
        <w:tc>
          <w:tcPr>
            <w:tcW w:w="4165" w:type="dxa"/>
            <w:gridSpan w:val="5"/>
          </w:tcPr>
          <w:p>
            <w:pPr>
              <w:pStyle w:val="32"/>
              <w:rPr>
                <w:color w:val="auto"/>
                <w:sz w:val="20"/>
              </w:rPr>
            </w:pPr>
          </w:p>
          <w:p>
            <w:pPr>
              <w:pStyle w:val="32"/>
              <w:spacing w:before="168"/>
              <w:ind w:left="836"/>
              <w:rPr>
                <w:color w:val="auto"/>
                <w:sz w:val="21"/>
              </w:rPr>
            </w:pPr>
            <w:r>
              <w:rPr>
                <w:color w:val="auto"/>
                <w:sz w:val="21"/>
              </w:rPr>
              <w:t>参加过的类似工程项目名称</w:t>
            </w:r>
          </w:p>
        </w:tc>
        <w:tc>
          <w:tcPr>
            <w:tcW w:w="1886" w:type="dxa"/>
            <w:gridSpan w:val="2"/>
          </w:tcPr>
          <w:p>
            <w:pPr>
              <w:pStyle w:val="32"/>
              <w:rPr>
                <w:color w:val="auto"/>
                <w:sz w:val="20"/>
              </w:rPr>
            </w:pPr>
          </w:p>
          <w:p>
            <w:pPr>
              <w:pStyle w:val="32"/>
              <w:spacing w:before="168"/>
              <w:ind w:left="527"/>
              <w:rPr>
                <w:color w:val="auto"/>
                <w:sz w:val="21"/>
              </w:rPr>
            </w:pPr>
            <w:r>
              <w:rPr>
                <w:color w:val="auto"/>
                <w:sz w:val="21"/>
              </w:rPr>
              <w:t>担任职务</w:t>
            </w:r>
          </w:p>
        </w:tc>
        <w:tc>
          <w:tcPr>
            <w:tcW w:w="1453" w:type="dxa"/>
          </w:tcPr>
          <w:p>
            <w:pPr>
              <w:pStyle w:val="32"/>
              <w:spacing w:before="93" w:line="400" w:lineRule="atLeast"/>
              <w:ind w:left="523" w:right="77" w:hanging="420"/>
              <w:rPr>
                <w:color w:val="auto"/>
                <w:sz w:val="21"/>
              </w:rPr>
            </w:pPr>
            <w:r>
              <w:rPr>
                <w:color w:val="auto"/>
                <w:sz w:val="21"/>
              </w:rPr>
              <w:t>发包人及联系电话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0"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0"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0"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4" w:hRule="atLeast"/>
        </w:trPr>
        <w:tc>
          <w:tcPr>
            <w:tcW w:w="1235" w:type="dxa"/>
          </w:tcPr>
          <w:p>
            <w:pPr>
              <w:pStyle w:val="32"/>
              <w:rPr>
                <w:rFonts w:ascii="Times New Roman"/>
                <w:color w:val="auto"/>
                <w:sz w:val="18"/>
              </w:rPr>
            </w:pPr>
          </w:p>
        </w:tc>
        <w:tc>
          <w:tcPr>
            <w:tcW w:w="4165" w:type="dxa"/>
            <w:gridSpan w:val="5"/>
          </w:tcPr>
          <w:p>
            <w:pPr>
              <w:pStyle w:val="32"/>
              <w:rPr>
                <w:rFonts w:ascii="Times New Roman"/>
                <w:color w:val="auto"/>
                <w:sz w:val="18"/>
              </w:rPr>
            </w:pPr>
          </w:p>
        </w:tc>
        <w:tc>
          <w:tcPr>
            <w:tcW w:w="1886" w:type="dxa"/>
            <w:gridSpan w:val="2"/>
          </w:tcPr>
          <w:p>
            <w:pPr>
              <w:pStyle w:val="32"/>
              <w:rPr>
                <w:rFonts w:ascii="Times New Roman"/>
                <w:color w:val="auto"/>
                <w:sz w:val="18"/>
              </w:rPr>
            </w:pPr>
          </w:p>
        </w:tc>
        <w:tc>
          <w:tcPr>
            <w:tcW w:w="1453" w:type="dxa"/>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trPr>
        <w:tc>
          <w:tcPr>
            <w:tcW w:w="2418" w:type="dxa"/>
            <w:gridSpan w:val="2"/>
          </w:tcPr>
          <w:p>
            <w:pPr>
              <w:pStyle w:val="32"/>
              <w:spacing w:before="171"/>
              <w:ind w:left="788"/>
              <w:rPr>
                <w:color w:val="auto"/>
                <w:sz w:val="21"/>
              </w:rPr>
            </w:pPr>
            <w:r>
              <w:rPr>
                <w:color w:val="auto"/>
                <w:sz w:val="21"/>
              </w:rPr>
              <w:t>获奖情况</w:t>
            </w:r>
          </w:p>
        </w:tc>
        <w:tc>
          <w:tcPr>
            <w:tcW w:w="6321" w:type="dxa"/>
            <w:gridSpan w:val="7"/>
          </w:tcPr>
          <w:p>
            <w:pPr>
              <w:pStyle w:val="32"/>
              <w:rPr>
                <w:rFonts w:ascii="Times New Roman"/>
                <w:color w:val="auto"/>
                <w:sz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3" w:hRule="atLeast"/>
        </w:trPr>
        <w:tc>
          <w:tcPr>
            <w:tcW w:w="2418" w:type="dxa"/>
            <w:gridSpan w:val="2"/>
          </w:tcPr>
          <w:p>
            <w:pPr>
              <w:pStyle w:val="32"/>
              <w:tabs>
                <w:tab w:val="left" w:pos="1471"/>
              </w:tabs>
              <w:spacing w:before="127"/>
              <w:ind w:left="736"/>
              <w:rPr>
                <w:color w:val="auto"/>
                <w:sz w:val="21"/>
              </w:rPr>
            </w:pPr>
            <w:r>
              <w:rPr>
                <w:color w:val="auto"/>
                <w:sz w:val="21"/>
              </w:rPr>
              <w:t>备</w:t>
            </w:r>
            <w:r>
              <w:rPr>
                <w:color w:val="auto"/>
                <w:sz w:val="21"/>
              </w:rPr>
              <w:tab/>
            </w:r>
            <w:r>
              <w:rPr>
                <w:color w:val="auto"/>
                <w:sz w:val="21"/>
              </w:rPr>
              <w:t>注</w:t>
            </w:r>
          </w:p>
        </w:tc>
        <w:tc>
          <w:tcPr>
            <w:tcW w:w="6321" w:type="dxa"/>
            <w:gridSpan w:val="7"/>
          </w:tcPr>
          <w:p>
            <w:pPr>
              <w:pStyle w:val="32"/>
              <w:rPr>
                <w:rFonts w:ascii="Times New Roman"/>
                <w:color w:val="auto"/>
                <w:sz w:val="18"/>
              </w:rPr>
            </w:pPr>
          </w:p>
        </w:tc>
      </w:tr>
    </w:tbl>
    <w:p>
      <w:pPr>
        <w:pStyle w:val="13"/>
        <w:spacing w:before="5"/>
        <w:rPr>
          <w:color w:val="auto"/>
          <w:sz w:val="12"/>
        </w:rPr>
      </w:pPr>
    </w:p>
    <w:p>
      <w:pPr>
        <w:spacing w:before="75" w:line="242" w:lineRule="auto"/>
        <w:ind w:left="541" w:right="1340"/>
        <w:rPr>
          <w:color w:val="auto"/>
          <w:spacing w:val="-4"/>
          <w:sz w:val="18"/>
        </w:rPr>
      </w:pPr>
      <w:r>
        <w:rPr>
          <w:color w:val="auto"/>
          <w:sz w:val="18"/>
        </w:rPr>
        <w:t>注：1.本表后应填写项目经理</w:t>
      </w:r>
      <w:r>
        <w:rPr>
          <w:rFonts w:hint="eastAsia"/>
          <w:color w:val="auto"/>
          <w:sz w:val="18"/>
        </w:rPr>
        <w:t>（以及备选人，如有）</w:t>
      </w:r>
      <w:r>
        <w:rPr>
          <w:color w:val="auto"/>
          <w:sz w:val="18"/>
        </w:rPr>
        <w:t>和项目总工</w:t>
      </w:r>
      <w:r>
        <w:rPr>
          <w:rFonts w:hint="eastAsia"/>
          <w:color w:val="auto"/>
          <w:sz w:val="18"/>
        </w:rPr>
        <w:t>（以及备选人，如有）</w:t>
      </w:r>
      <w:r>
        <w:rPr>
          <w:color w:val="auto"/>
          <w:spacing w:val="-4"/>
          <w:sz w:val="18"/>
        </w:rPr>
        <w:t>相关情况。</w:t>
      </w:r>
    </w:p>
    <w:p>
      <w:pPr>
        <w:spacing w:before="75" w:line="242" w:lineRule="auto"/>
        <w:ind w:left="541" w:right="843" w:rightChars="0"/>
        <w:rPr>
          <w:rFonts w:hint="eastAsia" w:eastAsia="宋体"/>
          <w:color w:val="auto"/>
          <w:sz w:val="18"/>
          <w:lang w:val="en-US" w:eastAsia="zh-CN"/>
        </w:rPr>
        <w:sectPr>
          <w:pgSz w:w="11911" w:h="16838"/>
          <w:pgMar w:top="1247" w:right="1134" w:bottom="1247" w:left="1134" w:header="737" w:footer="850" w:gutter="0"/>
          <w:pgNumType w:fmt="numberInDash"/>
          <w:cols w:space="0" w:num="1"/>
          <w:rtlGutter w:val="0"/>
          <w:docGrid w:linePitch="0" w:charSpace="0"/>
        </w:sectPr>
      </w:pPr>
      <w:r>
        <w:rPr>
          <w:color w:val="auto"/>
          <w:sz w:val="18"/>
        </w:rPr>
        <w:t>2.</w:t>
      </w:r>
      <w:r>
        <w:rPr>
          <w:rFonts w:hint="eastAsia"/>
          <w:color w:val="auto"/>
          <w:sz w:val="18"/>
        </w:rPr>
        <w:t>投标人应根据招标文件第二章“申请人须知”第3.5.</w:t>
      </w:r>
      <w:r>
        <w:rPr>
          <w:rFonts w:hint="eastAsia"/>
          <w:color w:val="auto"/>
          <w:sz w:val="18"/>
          <w:lang w:val="en-US"/>
        </w:rPr>
        <w:t>5</w:t>
      </w:r>
      <w:r>
        <w:rPr>
          <w:rFonts w:hint="eastAsia"/>
          <w:color w:val="auto"/>
          <w:sz w:val="18"/>
        </w:rPr>
        <w:t>项修改内容的要求在本表后附相关证明材料</w:t>
      </w:r>
    </w:p>
    <w:p>
      <w:pPr>
        <w:pStyle w:val="10"/>
        <w:spacing w:before="215"/>
        <w:ind w:left="0"/>
        <w:jc w:val="center"/>
        <w:rPr>
          <w:b/>
          <w:bCs/>
          <w:color w:val="auto"/>
          <w:sz w:val="32"/>
          <w:szCs w:val="32"/>
        </w:rPr>
      </w:pPr>
      <w:r>
        <w:rPr>
          <w:rFonts w:hint="eastAsia"/>
          <w:b/>
          <w:bCs/>
          <w:color w:val="auto"/>
          <w:sz w:val="32"/>
          <w:szCs w:val="32"/>
          <w:lang w:val="en-US" w:eastAsia="zh-CN"/>
        </w:rPr>
        <w:t>八</w:t>
      </w:r>
      <w:r>
        <w:rPr>
          <w:b/>
          <w:bCs/>
          <w:color w:val="auto"/>
          <w:sz w:val="32"/>
          <w:szCs w:val="32"/>
        </w:rPr>
        <w:t>、其他材料</w:t>
      </w:r>
    </w:p>
    <w:p>
      <w:pPr>
        <w:rPr>
          <w:color w:val="auto"/>
        </w:rPr>
      </w:pPr>
    </w:p>
    <w:p>
      <w:pPr>
        <w:rPr>
          <w:color w:val="auto"/>
        </w:rPr>
      </w:pPr>
    </w:p>
    <w:p>
      <w:pPr>
        <w:spacing w:line="360" w:lineRule="auto"/>
        <w:ind w:firstLine="280" w:firstLineChars="100"/>
        <w:rPr>
          <w:rFonts w:hint="eastAsia" w:ascii="宋体" w:hAnsi="宋体" w:cs="宋体"/>
          <w:color w:val="auto"/>
          <w:sz w:val="28"/>
          <w:szCs w:val="28"/>
          <w:highlight w:val="none"/>
        </w:rPr>
      </w:pPr>
      <w:r>
        <w:rPr>
          <w:rFonts w:hint="eastAsia" w:ascii="宋体" w:hAnsi="宋体" w:cs="宋体"/>
          <w:color w:val="auto"/>
          <w:sz w:val="28"/>
          <w:szCs w:val="28"/>
          <w:highlight w:val="none"/>
        </w:rPr>
        <w:t>1.投标人认为需要的其它内容。</w:t>
      </w:r>
    </w:p>
    <w:p>
      <w:pPr>
        <w:pStyle w:val="29"/>
        <w:rPr>
          <w:color w:val="auto"/>
        </w:rPr>
      </w:pPr>
    </w:p>
    <w:p>
      <w:pPr>
        <w:rPr>
          <w:color w:val="auto"/>
        </w:rPr>
      </w:pPr>
    </w:p>
    <w:p>
      <w:pPr>
        <w:spacing w:line="360" w:lineRule="auto"/>
        <w:ind w:firstLine="280" w:firstLineChars="100"/>
        <w:rPr>
          <w:rFonts w:hint="eastAsia" w:ascii="宋体" w:hAnsi="宋体" w:cs="宋体"/>
          <w:color w:val="auto"/>
          <w:sz w:val="28"/>
          <w:szCs w:val="28"/>
          <w:highlight w:val="none"/>
        </w:rPr>
      </w:pPr>
      <w:r>
        <w:rPr>
          <w:rFonts w:hint="eastAsia" w:ascii="宋体" w:hAnsi="宋体" w:cs="宋体"/>
          <w:color w:val="auto"/>
          <w:sz w:val="28"/>
          <w:szCs w:val="28"/>
          <w:highlight w:val="none"/>
        </w:rPr>
        <w:t>2.使用广东省信用评价等级的申请承诺书（如需）</w:t>
      </w:r>
    </w:p>
    <w:p>
      <w:pPr>
        <w:pStyle w:val="13"/>
        <w:rPr>
          <w:color w:val="auto"/>
          <w:sz w:val="15"/>
          <w:szCs w:val="11"/>
        </w:rPr>
      </w:pPr>
    </w:p>
    <w:p>
      <w:pPr>
        <w:spacing w:before="1"/>
        <w:ind w:left="3076"/>
        <w:rPr>
          <w:color w:val="auto"/>
          <w:sz w:val="24"/>
        </w:rPr>
      </w:pPr>
    </w:p>
    <w:p>
      <w:pPr>
        <w:spacing w:before="1"/>
        <w:ind w:left="3076"/>
        <w:rPr>
          <w:color w:val="auto"/>
          <w:sz w:val="11"/>
          <w:szCs w:val="10"/>
        </w:rPr>
      </w:pPr>
    </w:p>
    <w:p>
      <w:pPr>
        <w:pStyle w:val="9"/>
        <w:spacing w:before="1" w:line="360" w:lineRule="auto"/>
        <w:ind w:left="0"/>
        <w:rPr>
          <w:color w:val="auto"/>
          <w:sz w:val="24"/>
          <w:szCs w:val="24"/>
        </w:rPr>
      </w:pPr>
      <w:r>
        <w:rPr>
          <w:color w:val="auto"/>
          <w:sz w:val="24"/>
          <w:szCs w:val="24"/>
        </w:rPr>
        <w:t>致招标人：</w:t>
      </w:r>
      <w:r>
        <w:rPr>
          <w:color w:val="auto"/>
          <w:sz w:val="24"/>
          <w:szCs w:val="24"/>
          <w:u w:val="single"/>
        </w:rPr>
        <w:t>（招标人全称）</w:t>
      </w:r>
    </w:p>
    <w:p>
      <w:pPr>
        <w:spacing w:before="93" w:line="360" w:lineRule="auto"/>
        <w:ind w:right="3" w:firstLine="436" w:firstLineChars="200"/>
        <w:jc w:val="both"/>
        <w:rPr>
          <w:color w:val="auto"/>
          <w:sz w:val="24"/>
        </w:rPr>
      </w:pPr>
      <w:r>
        <w:rPr>
          <w:color w:val="auto"/>
          <w:spacing w:val="-11"/>
          <w:sz w:val="24"/>
        </w:rPr>
        <w:t>按照《广东省交通运输厅关于进一步贯彻广东省公路水运工程从业企业信用评</w:t>
      </w:r>
      <w:r>
        <w:rPr>
          <w:color w:val="auto"/>
          <w:spacing w:val="-9"/>
          <w:sz w:val="24"/>
        </w:rPr>
        <w:t>价管理办法的实施意见的通知》</w:t>
      </w:r>
      <w:r>
        <w:rPr>
          <w:color w:val="auto"/>
          <w:sz w:val="24"/>
        </w:rPr>
        <w:t>（粤交基〔2014〕564号）要求，现我单位对使用信用等级申请如下：</w:t>
      </w:r>
    </w:p>
    <w:p>
      <w:pPr>
        <w:tabs>
          <w:tab w:val="left" w:pos="5101"/>
          <w:tab w:val="left" w:pos="7261"/>
        </w:tabs>
        <w:spacing w:before="1" w:line="360" w:lineRule="auto"/>
        <w:ind w:right="3" w:firstLine="480" w:firstLineChars="200"/>
        <w:jc w:val="both"/>
        <w:rPr>
          <w:color w:val="auto"/>
          <w:sz w:val="24"/>
        </w:rPr>
      </w:pPr>
      <w:r>
        <w:rPr>
          <w:color w:val="auto"/>
          <w:sz w:val="24"/>
        </w:rPr>
        <w:t>一、我单位在</w:t>
      </w:r>
      <w:r>
        <w:rPr>
          <w:color w:val="auto"/>
          <w:sz w:val="24"/>
          <w:u w:val="single"/>
        </w:rPr>
        <w:tab/>
      </w:r>
      <w:r>
        <w:rPr>
          <w:color w:val="auto"/>
          <w:sz w:val="24"/>
          <w:u w:val="single"/>
        </w:rPr>
        <w:t>施工</w:t>
      </w:r>
      <w:r>
        <w:rPr>
          <w:color w:val="auto"/>
          <w:sz w:val="24"/>
        </w:rPr>
        <w:t>招标（第</w:t>
      </w:r>
      <w:r>
        <w:rPr>
          <w:color w:val="auto"/>
          <w:sz w:val="24"/>
          <w:u w:val="single"/>
        </w:rPr>
        <w:tab/>
      </w:r>
      <w:r>
        <w:rPr>
          <w:color w:val="auto"/>
          <w:sz w:val="24"/>
          <w:u w:val="single"/>
        </w:rPr>
        <w:t>标类/标段）</w:t>
      </w:r>
      <w:r>
        <w:rPr>
          <w:color w:val="auto"/>
          <w:sz w:val="24"/>
        </w:rPr>
        <w:t>的招标中，</w:t>
      </w:r>
      <w:r>
        <w:rPr>
          <w:b/>
          <w:color w:val="auto"/>
          <w:sz w:val="24"/>
        </w:rPr>
        <w:t>第次使用（</w:t>
      </w:r>
      <w:r>
        <w:rPr>
          <w:b/>
          <w:color w:val="auto"/>
          <w:sz w:val="24"/>
          <w:u w:val="single"/>
        </w:rPr>
        <w:t>或不使用</w:t>
      </w:r>
      <w:r>
        <w:rPr>
          <w:b/>
          <w:color w:val="auto"/>
          <w:sz w:val="24"/>
        </w:rPr>
        <w:t>）</w:t>
      </w:r>
      <w:r>
        <w:rPr>
          <w:color w:val="auto"/>
          <w:sz w:val="24"/>
        </w:rPr>
        <w:t>广东省交通运输厅发布的年度信用评价等级结果和对应等级分值。</w:t>
      </w:r>
    </w:p>
    <w:p>
      <w:pPr>
        <w:tabs>
          <w:tab w:val="left" w:pos="8142"/>
        </w:tabs>
        <w:spacing w:line="360" w:lineRule="auto"/>
        <w:ind w:firstLine="480" w:firstLineChars="200"/>
        <w:rPr>
          <w:color w:val="auto"/>
          <w:sz w:val="24"/>
        </w:rPr>
      </w:pPr>
      <w:r>
        <w:rPr>
          <w:color w:val="auto"/>
          <w:sz w:val="24"/>
        </w:rPr>
        <w:t>二</w:t>
      </w:r>
      <w:r>
        <w:rPr>
          <w:color w:val="auto"/>
          <w:spacing w:val="-27"/>
          <w:sz w:val="24"/>
        </w:rPr>
        <w:t>、</w:t>
      </w:r>
      <w:r>
        <w:rPr>
          <w:color w:val="auto"/>
          <w:sz w:val="24"/>
        </w:rPr>
        <w:t>我单位承诺</w:t>
      </w:r>
      <w:r>
        <w:rPr>
          <w:color w:val="auto"/>
          <w:spacing w:val="-27"/>
          <w:sz w:val="24"/>
        </w:rPr>
        <w:t>，</w:t>
      </w:r>
      <w:r>
        <w:rPr>
          <w:color w:val="auto"/>
          <w:sz w:val="24"/>
        </w:rPr>
        <w:t>在递交本次申请后</w:t>
      </w:r>
      <w:r>
        <w:rPr>
          <w:color w:val="auto"/>
          <w:spacing w:val="-27"/>
          <w:sz w:val="24"/>
        </w:rPr>
        <w:t>，</w:t>
      </w:r>
      <w:r>
        <w:rPr>
          <w:color w:val="auto"/>
          <w:sz w:val="24"/>
        </w:rPr>
        <w:t>我单位将失去一次使用</w:t>
      </w:r>
      <w:r>
        <w:rPr>
          <w:color w:val="auto"/>
          <w:sz w:val="24"/>
          <w:u w:val="single"/>
        </w:rPr>
        <w:tab/>
      </w:r>
      <w:r>
        <w:rPr>
          <w:color w:val="auto"/>
          <w:sz w:val="24"/>
        </w:rPr>
        <w:t>等级结果</w:t>
      </w:r>
    </w:p>
    <w:p>
      <w:pPr>
        <w:spacing w:before="92" w:line="360" w:lineRule="auto"/>
        <w:ind w:right="3"/>
        <w:rPr>
          <w:color w:val="auto"/>
          <w:sz w:val="24"/>
        </w:rPr>
      </w:pPr>
      <w:r>
        <w:rPr>
          <w:color w:val="auto"/>
          <w:sz w:val="24"/>
        </w:rPr>
        <w:t>（</w:t>
      </w:r>
      <w:r>
        <w:rPr>
          <w:b/>
          <w:color w:val="auto"/>
          <w:spacing w:val="-3"/>
          <w:sz w:val="24"/>
          <w:u w:val="single"/>
        </w:rPr>
        <w:t>不使用时上述填</w:t>
      </w:r>
      <w:r>
        <w:rPr>
          <w:b/>
          <w:color w:val="auto"/>
          <w:spacing w:val="-5"/>
          <w:sz w:val="24"/>
          <w:u w:val="single"/>
        </w:rPr>
        <w:t>“/”）</w:t>
      </w:r>
      <w:r>
        <w:rPr>
          <w:color w:val="auto"/>
          <w:spacing w:val="-4"/>
          <w:sz w:val="24"/>
        </w:rPr>
        <w:t>参与投标的机会。当累计使用超过粤交基〔</w:t>
      </w:r>
      <w:r>
        <w:rPr>
          <w:color w:val="auto"/>
          <w:sz w:val="24"/>
        </w:rPr>
        <w:t>2014</w:t>
      </w:r>
      <w:r>
        <w:rPr>
          <w:color w:val="auto"/>
          <w:spacing w:val="-18"/>
          <w:sz w:val="24"/>
        </w:rPr>
        <w:t>〕</w:t>
      </w:r>
      <w:r>
        <w:rPr>
          <w:color w:val="auto"/>
          <w:sz w:val="24"/>
        </w:rPr>
        <w:t>564</w:t>
      </w:r>
      <w:r>
        <w:rPr>
          <w:color w:val="auto"/>
          <w:spacing w:val="-4"/>
          <w:sz w:val="24"/>
        </w:rPr>
        <w:t>号规定的次数，我单位同意按降低一个信用等级对应分值来认定参与投标评审。</w:t>
      </w:r>
    </w:p>
    <w:p>
      <w:pPr>
        <w:spacing w:before="1" w:line="360" w:lineRule="auto"/>
        <w:ind w:right="3" w:firstLine="424" w:firstLineChars="200"/>
        <w:rPr>
          <w:color w:val="auto"/>
          <w:sz w:val="24"/>
        </w:rPr>
      </w:pPr>
      <w:r>
        <w:rPr>
          <w:color w:val="auto"/>
          <w:spacing w:val="-14"/>
          <w:sz w:val="24"/>
        </w:rPr>
        <w:t>三、如果我单位发生违反粤交基〔</w:t>
      </w:r>
      <w:r>
        <w:rPr>
          <w:color w:val="auto"/>
          <w:sz w:val="24"/>
        </w:rPr>
        <w:t>2014</w:t>
      </w:r>
      <w:r>
        <w:rPr>
          <w:color w:val="auto"/>
          <w:spacing w:val="-66"/>
          <w:sz w:val="24"/>
        </w:rPr>
        <w:t>〕</w:t>
      </w:r>
      <w:r>
        <w:rPr>
          <w:color w:val="auto"/>
          <w:sz w:val="24"/>
        </w:rPr>
        <w:t>564</w:t>
      </w:r>
      <w:r>
        <w:rPr>
          <w:color w:val="auto"/>
          <w:spacing w:val="-2"/>
          <w:sz w:val="24"/>
        </w:rPr>
        <w:t>号规定使用信用等级结果的情形，</w:t>
      </w:r>
      <w:r>
        <w:rPr>
          <w:color w:val="auto"/>
          <w:sz w:val="24"/>
        </w:rPr>
        <w:t>自愿接受省级交通运输主管部门的处理。</w:t>
      </w:r>
    </w:p>
    <w:p>
      <w:pPr>
        <w:tabs>
          <w:tab w:val="left" w:pos="3541"/>
        </w:tabs>
        <w:spacing w:line="360" w:lineRule="auto"/>
        <w:ind w:firstLine="480" w:firstLineChars="200"/>
        <w:rPr>
          <w:color w:val="auto"/>
          <w:sz w:val="24"/>
        </w:rPr>
      </w:pPr>
      <w:r>
        <w:rPr>
          <w:color w:val="auto"/>
          <w:sz w:val="24"/>
        </w:rPr>
        <w:t>附件：本单位使用</w:t>
      </w:r>
      <w:r>
        <w:rPr>
          <w:color w:val="auto"/>
          <w:sz w:val="24"/>
          <w:u w:val="single"/>
        </w:rPr>
        <w:tab/>
      </w:r>
      <w:r>
        <w:rPr>
          <w:color w:val="auto"/>
          <w:sz w:val="24"/>
        </w:rPr>
        <w:t>年度广东省公路水运工程从业单位信用等级情况汇总</w:t>
      </w:r>
      <w:r>
        <w:rPr>
          <w:rFonts w:hint="eastAsia"/>
          <w:color w:val="auto"/>
          <w:sz w:val="24"/>
        </w:rPr>
        <w:t>表</w:t>
      </w:r>
    </w:p>
    <w:p>
      <w:pPr>
        <w:spacing w:before="94" w:line="360" w:lineRule="auto"/>
        <w:ind w:left="45" w:hanging="45" w:hangingChars="225"/>
        <w:rPr>
          <w:color w:val="auto"/>
          <w:sz w:val="2"/>
          <w:szCs w:val="2"/>
        </w:rPr>
      </w:pPr>
    </w:p>
    <w:p>
      <w:pPr>
        <w:spacing w:before="92" w:line="360" w:lineRule="auto"/>
        <w:ind w:left="1021"/>
        <w:rPr>
          <w:color w:val="auto"/>
          <w:sz w:val="24"/>
        </w:rPr>
      </w:pPr>
      <w:r>
        <w:rPr>
          <w:color w:val="auto"/>
          <w:sz w:val="24"/>
        </w:rPr>
        <w:t>特此承诺</w:t>
      </w:r>
    </w:p>
    <w:p>
      <w:pPr>
        <w:pStyle w:val="13"/>
        <w:spacing w:before="9"/>
        <w:rPr>
          <w:color w:val="auto"/>
          <w:sz w:val="25"/>
        </w:rPr>
      </w:pPr>
    </w:p>
    <w:p>
      <w:pPr>
        <w:tabs>
          <w:tab w:val="left" w:pos="7880"/>
        </w:tabs>
        <w:spacing w:before="75"/>
        <w:ind w:left="2480"/>
        <w:jc w:val="right"/>
        <w:rPr>
          <w:rFonts w:ascii="Times New Roman" w:eastAsia="Times New Roman"/>
          <w:color w:val="auto"/>
          <w:sz w:val="24"/>
        </w:rPr>
      </w:pPr>
      <w:r>
        <w:rPr>
          <w:color w:val="auto"/>
          <w:sz w:val="24"/>
        </w:rPr>
        <w:t>申请人（单位全称</w:t>
      </w:r>
      <w:r>
        <w:rPr>
          <w:color w:val="auto"/>
          <w:spacing w:val="-120"/>
          <w:sz w:val="24"/>
        </w:rPr>
        <w:t>）</w:t>
      </w:r>
      <w:r>
        <w:rPr>
          <w:color w:val="auto"/>
          <w:sz w:val="24"/>
        </w:rPr>
        <w:t>：</w:t>
      </w:r>
      <w:r>
        <w:rPr>
          <w:rFonts w:ascii="Times New Roman" w:eastAsia="Times New Roman"/>
          <w:color w:val="auto"/>
          <w:sz w:val="24"/>
          <w:u w:val="single"/>
        </w:rPr>
        <w:tab/>
      </w:r>
    </w:p>
    <w:p>
      <w:pPr>
        <w:pStyle w:val="13"/>
        <w:jc w:val="right"/>
        <w:rPr>
          <w:rFonts w:ascii="Times New Roman"/>
          <w:color w:val="auto"/>
          <w:sz w:val="28"/>
        </w:rPr>
      </w:pPr>
    </w:p>
    <w:p>
      <w:pPr>
        <w:tabs>
          <w:tab w:val="left" w:pos="8363"/>
        </w:tabs>
        <w:spacing w:before="74"/>
        <w:ind w:left="2478"/>
        <w:jc w:val="right"/>
        <w:rPr>
          <w:rFonts w:ascii="Times New Roman" w:eastAsia="Times New Roman"/>
          <w:color w:val="auto"/>
          <w:sz w:val="24"/>
        </w:rPr>
      </w:pPr>
      <w:r>
        <w:rPr>
          <w:color w:val="auto"/>
          <w:sz w:val="24"/>
        </w:rPr>
        <w:t>申请人的法定代表人或其委托代理人签名：</w:t>
      </w:r>
      <w:r>
        <w:rPr>
          <w:rFonts w:ascii="Times New Roman" w:eastAsia="Times New Roman"/>
          <w:color w:val="auto"/>
          <w:sz w:val="24"/>
          <w:u w:val="single"/>
        </w:rPr>
        <w:tab/>
      </w:r>
    </w:p>
    <w:p>
      <w:pPr>
        <w:pStyle w:val="13"/>
        <w:jc w:val="right"/>
        <w:rPr>
          <w:rFonts w:ascii="Times New Roman"/>
          <w:color w:val="auto"/>
          <w:sz w:val="20"/>
        </w:rPr>
      </w:pPr>
    </w:p>
    <w:p>
      <w:pPr>
        <w:pStyle w:val="13"/>
        <w:spacing w:before="4"/>
        <w:rPr>
          <w:rFonts w:ascii="Times New Roman"/>
          <w:color w:val="auto"/>
          <w:sz w:val="16"/>
        </w:rPr>
      </w:pPr>
    </w:p>
    <w:p>
      <w:pPr>
        <w:tabs>
          <w:tab w:val="left" w:pos="8142"/>
          <w:tab w:val="left" w:pos="8862"/>
        </w:tabs>
        <w:spacing w:before="67"/>
        <w:ind w:left="7422"/>
        <w:rPr>
          <w:color w:val="auto"/>
          <w:sz w:val="24"/>
        </w:rPr>
      </w:pPr>
      <w:r>
        <w:rPr>
          <w:color w:val="auto"/>
          <w:sz w:val="24"/>
        </w:rPr>
        <w:t>年</w:t>
      </w:r>
      <w:r>
        <w:rPr>
          <w:color w:val="auto"/>
          <w:sz w:val="24"/>
        </w:rPr>
        <w:tab/>
      </w:r>
      <w:r>
        <w:rPr>
          <w:color w:val="auto"/>
          <w:sz w:val="24"/>
        </w:rPr>
        <w:t>月</w:t>
      </w:r>
      <w:r>
        <w:rPr>
          <w:color w:val="auto"/>
          <w:sz w:val="24"/>
        </w:rPr>
        <w:tab/>
      </w:r>
      <w:r>
        <w:rPr>
          <w:color w:val="auto"/>
          <w:sz w:val="24"/>
        </w:rPr>
        <w:t>日</w:t>
      </w:r>
    </w:p>
    <w:p>
      <w:pPr>
        <w:tabs>
          <w:tab w:val="left" w:pos="8142"/>
          <w:tab w:val="left" w:pos="8862"/>
        </w:tabs>
        <w:spacing w:before="67"/>
        <w:ind w:left="7422"/>
        <w:rPr>
          <w:color w:val="auto"/>
          <w:sz w:val="8"/>
          <w:szCs w:val="6"/>
        </w:rPr>
      </w:pPr>
    </w:p>
    <w:p>
      <w:pPr>
        <w:spacing w:before="144" w:line="374" w:lineRule="auto"/>
        <w:ind w:right="3"/>
        <w:jc w:val="both"/>
        <w:rPr>
          <w:color w:val="auto"/>
          <w:sz w:val="20"/>
          <w:szCs w:val="20"/>
        </w:rPr>
      </w:pPr>
      <w:r>
        <w:rPr>
          <w:rFonts w:hint="eastAsia"/>
          <w:color w:val="auto"/>
          <w:sz w:val="20"/>
          <w:szCs w:val="20"/>
        </w:rPr>
        <w:t>1</w:t>
      </w:r>
      <w:r>
        <w:rPr>
          <w:rFonts w:hint="eastAsia"/>
          <w:color w:val="auto"/>
          <w:spacing w:val="-4"/>
          <w:sz w:val="20"/>
          <w:szCs w:val="20"/>
        </w:rPr>
        <w:t>、</w:t>
      </w:r>
      <w:r>
        <w:rPr>
          <w:rFonts w:hint="eastAsia"/>
          <w:color w:val="auto"/>
          <w:sz w:val="20"/>
          <w:szCs w:val="20"/>
        </w:rPr>
        <w:t>AA</w:t>
      </w:r>
      <w:r>
        <w:rPr>
          <w:rFonts w:hint="eastAsia"/>
          <w:color w:val="auto"/>
          <w:spacing w:val="-5"/>
          <w:sz w:val="20"/>
          <w:szCs w:val="20"/>
        </w:rPr>
        <w:t>、</w:t>
      </w:r>
      <w:r>
        <w:rPr>
          <w:rFonts w:hint="eastAsia"/>
          <w:color w:val="auto"/>
          <w:sz w:val="20"/>
          <w:szCs w:val="20"/>
        </w:rPr>
        <w:t>A</w:t>
      </w:r>
      <w:r>
        <w:rPr>
          <w:rFonts w:hint="eastAsia"/>
          <w:color w:val="auto"/>
          <w:spacing w:val="-4"/>
          <w:sz w:val="20"/>
          <w:szCs w:val="20"/>
        </w:rPr>
        <w:t>级信用等级企业必须填写此申请承诺书；选择“使用”时需和附表</w:t>
      </w:r>
      <w:r>
        <w:rPr>
          <w:rFonts w:hint="eastAsia"/>
          <w:color w:val="auto"/>
          <w:sz w:val="20"/>
          <w:szCs w:val="20"/>
        </w:rPr>
        <w:t>（情况汇总表</w:t>
      </w:r>
      <w:r>
        <w:rPr>
          <w:rFonts w:hint="eastAsia"/>
          <w:color w:val="auto"/>
          <w:spacing w:val="-5"/>
          <w:sz w:val="20"/>
          <w:szCs w:val="20"/>
        </w:rPr>
        <w:t>）</w:t>
      </w:r>
      <w:r>
        <w:rPr>
          <w:rFonts w:hint="eastAsia"/>
          <w:color w:val="auto"/>
          <w:sz w:val="20"/>
          <w:szCs w:val="20"/>
        </w:rPr>
        <w:t>一起编入投标文件中。</w:t>
      </w:r>
    </w:p>
    <w:p>
      <w:pPr>
        <w:spacing w:line="374" w:lineRule="auto"/>
        <w:ind w:left="540" w:right="518" w:hanging="540" w:hangingChars="270"/>
        <w:jc w:val="both"/>
        <w:rPr>
          <w:color w:val="auto"/>
          <w:sz w:val="20"/>
          <w:szCs w:val="20"/>
        </w:rPr>
      </w:pPr>
      <w:r>
        <w:rPr>
          <w:rFonts w:hint="eastAsia"/>
          <w:color w:val="auto"/>
          <w:sz w:val="20"/>
          <w:szCs w:val="20"/>
          <w:lang w:val="en-US"/>
        </w:rPr>
        <w:t>2</w:t>
      </w:r>
      <w:r>
        <w:rPr>
          <w:rFonts w:hint="eastAsia"/>
          <w:color w:val="auto"/>
          <w:spacing w:val="-9"/>
          <w:sz w:val="20"/>
          <w:szCs w:val="20"/>
        </w:rPr>
        <w:t>、中标候选人公示将对所有承诺使用最新一年度</w:t>
      </w:r>
      <w:r>
        <w:rPr>
          <w:rFonts w:hint="eastAsia"/>
          <w:color w:val="auto"/>
          <w:sz w:val="20"/>
          <w:szCs w:val="20"/>
        </w:rPr>
        <w:t>AA</w:t>
      </w:r>
      <w:r>
        <w:rPr>
          <w:rFonts w:hint="eastAsia"/>
          <w:color w:val="auto"/>
          <w:spacing w:val="-36"/>
          <w:sz w:val="20"/>
          <w:szCs w:val="20"/>
        </w:rPr>
        <w:t>、</w:t>
      </w:r>
      <w:r>
        <w:rPr>
          <w:rFonts w:hint="eastAsia"/>
          <w:color w:val="auto"/>
          <w:sz w:val="20"/>
          <w:szCs w:val="20"/>
        </w:rPr>
        <w:t>A级投标人的年度信用等级使用情况进行公开。</w:t>
      </w:r>
    </w:p>
    <w:p>
      <w:pPr>
        <w:pStyle w:val="13"/>
        <w:rPr>
          <w:color w:val="auto"/>
          <w:sz w:val="20"/>
        </w:rPr>
      </w:pPr>
    </w:p>
    <w:p>
      <w:pPr>
        <w:pStyle w:val="13"/>
        <w:spacing w:before="6"/>
        <w:rPr>
          <w:color w:val="auto"/>
          <w:sz w:val="17"/>
        </w:rPr>
      </w:pPr>
    </w:p>
    <w:p>
      <w:pPr>
        <w:pStyle w:val="4"/>
        <w:ind w:right="2052"/>
        <w:rPr>
          <w:color w:val="auto"/>
          <w:u w:val="none"/>
        </w:rPr>
      </w:pPr>
    </w:p>
    <w:p>
      <w:pPr>
        <w:pStyle w:val="4"/>
        <w:ind w:right="2052"/>
        <w:rPr>
          <w:color w:val="auto"/>
          <w:u w:val="none"/>
        </w:rPr>
      </w:pPr>
    </w:p>
    <w:p>
      <w:pPr>
        <w:pStyle w:val="4"/>
        <w:ind w:right="2052"/>
        <w:rPr>
          <w:color w:val="auto"/>
          <w:u w:val="none"/>
        </w:rPr>
      </w:pPr>
    </w:p>
    <w:p>
      <w:pPr>
        <w:pStyle w:val="4"/>
        <w:ind w:right="2052"/>
        <w:rPr>
          <w:color w:val="auto"/>
          <w:u w:val="none"/>
        </w:rPr>
      </w:pPr>
    </w:p>
    <w:p>
      <w:pPr>
        <w:pStyle w:val="4"/>
        <w:ind w:right="2052"/>
        <w:rPr>
          <w:color w:val="auto"/>
          <w:u w:val="none"/>
        </w:rPr>
      </w:pPr>
      <w:r>
        <w:rPr>
          <w:color w:val="auto"/>
          <w:u w:val="none"/>
        </w:rPr>
        <w:t>广东省</w:t>
      </w:r>
    </w:p>
    <w:p>
      <w:pPr>
        <w:pStyle w:val="13"/>
        <w:rPr>
          <w:color w:val="auto"/>
          <w:sz w:val="44"/>
        </w:rPr>
      </w:pPr>
    </w:p>
    <w:p>
      <w:pPr>
        <w:pStyle w:val="13"/>
        <w:spacing w:before="7"/>
        <w:rPr>
          <w:color w:val="auto"/>
          <w:sz w:val="39"/>
        </w:rPr>
      </w:pPr>
    </w:p>
    <w:p>
      <w:pPr>
        <w:tabs>
          <w:tab w:val="left" w:pos="3126"/>
          <w:tab w:val="left" w:pos="6226"/>
        </w:tabs>
        <w:ind w:left="440" w:leftChars="200"/>
        <w:jc w:val="center"/>
        <w:rPr>
          <w:color w:val="auto"/>
          <w:sz w:val="31"/>
        </w:rPr>
      </w:pPr>
      <w:r>
        <w:rPr>
          <w:rFonts w:ascii="Times New Roman" w:eastAsia="Times New Roman"/>
          <w:color w:val="auto"/>
          <w:sz w:val="31"/>
          <w:u w:val="single"/>
        </w:rPr>
        <w:tab/>
      </w:r>
      <w:r>
        <w:rPr>
          <w:color w:val="auto"/>
          <w:sz w:val="31"/>
        </w:rPr>
        <w:t>(项目名称)</w:t>
      </w:r>
      <w:r>
        <w:rPr>
          <w:rFonts w:hint="eastAsia"/>
          <w:color w:val="auto"/>
          <w:sz w:val="31"/>
          <w:lang w:val="en-US" w:eastAsia="zh-CN"/>
        </w:rPr>
        <w:t>施工招标</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tabs>
          <w:tab w:val="left" w:pos="1027"/>
          <w:tab w:val="left" w:pos="2027"/>
          <w:tab w:val="left" w:pos="3027"/>
        </w:tabs>
        <w:spacing w:before="30"/>
        <w:ind w:left="28"/>
        <w:jc w:val="center"/>
        <w:rPr>
          <w:b/>
          <w:bCs/>
          <w:color w:val="auto"/>
          <w:sz w:val="50"/>
        </w:rPr>
      </w:pPr>
      <w:r>
        <w:rPr>
          <w:b/>
          <w:bCs/>
          <w:color w:val="auto"/>
          <w:sz w:val="50"/>
        </w:rPr>
        <w:t>投</w:t>
      </w:r>
      <w:r>
        <w:rPr>
          <w:b/>
          <w:bCs/>
          <w:color w:val="auto"/>
          <w:sz w:val="50"/>
        </w:rPr>
        <w:tab/>
      </w:r>
      <w:r>
        <w:rPr>
          <w:b/>
          <w:bCs/>
          <w:color w:val="auto"/>
          <w:sz w:val="50"/>
        </w:rPr>
        <w:t>标</w:t>
      </w:r>
      <w:r>
        <w:rPr>
          <w:b/>
          <w:bCs/>
          <w:color w:val="auto"/>
          <w:sz w:val="50"/>
        </w:rPr>
        <w:tab/>
      </w:r>
      <w:r>
        <w:rPr>
          <w:b/>
          <w:bCs/>
          <w:color w:val="auto"/>
          <w:sz w:val="50"/>
        </w:rPr>
        <w:t>文</w:t>
      </w:r>
      <w:r>
        <w:rPr>
          <w:b/>
          <w:bCs/>
          <w:color w:val="auto"/>
          <w:sz w:val="50"/>
        </w:rPr>
        <w:tab/>
      </w:r>
      <w:r>
        <w:rPr>
          <w:b/>
          <w:bCs/>
          <w:color w:val="auto"/>
          <w:sz w:val="50"/>
        </w:rPr>
        <w:t>件</w:t>
      </w:r>
    </w:p>
    <w:p>
      <w:pPr>
        <w:spacing w:before="333"/>
        <w:ind w:left="2079" w:right="2053"/>
        <w:jc w:val="center"/>
        <w:rPr>
          <w:color w:val="auto"/>
          <w:sz w:val="36"/>
          <w:szCs w:val="21"/>
        </w:rPr>
      </w:pPr>
      <w:r>
        <w:rPr>
          <w:color w:val="auto"/>
          <w:sz w:val="36"/>
          <w:szCs w:val="21"/>
        </w:rPr>
        <w:t>（第二信封：报价文件）</w:t>
      </w: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rPr>
          <w:color w:val="auto"/>
          <w:sz w:val="40"/>
        </w:rPr>
      </w:pPr>
    </w:p>
    <w:p>
      <w:pPr>
        <w:pStyle w:val="13"/>
        <w:spacing w:before="3"/>
        <w:rPr>
          <w:color w:val="auto"/>
          <w:sz w:val="44"/>
        </w:rPr>
      </w:pPr>
    </w:p>
    <w:p>
      <w:pPr>
        <w:pStyle w:val="9"/>
        <w:tabs>
          <w:tab w:val="left" w:pos="5904"/>
        </w:tabs>
        <w:spacing w:before="0"/>
        <w:ind w:left="2200" w:leftChars="1000"/>
        <w:rPr>
          <w:color w:val="auto"/>
        </w:rPr>
      </w:pPr>
      <w:r>
        <w:rPr>
          <w:color w:val="auto"/>
        </w:rPr>
        <w:t>投标人：</w:t>
      </w:r>
      <w:r>
        <w:rPr>
          <w:color w:val="auto"/>
          <w:u w:val="single"/>
        </w:rPr>
        <w:tab/>
      </w:r>
      <w:r>
        <w:rPr>
          <w:color w:val="auto"/>
        </w:rPr>
        <w:t>(盖单位章)</w:t>
      </w:r>
    </w:p>
    <w:p>
      <w:pPr>
        <w:pStyle w:val="13"/>
        <w:rPr>
          <w:color w:val="auto"/>
          <w:sz w:val="20"/>
        </w:rPr>
      </w:pPr>
    </w:p>
    <w:p>
      <w:pPr>
        <w:pStyle w:val="13"/>
        <w:rPr>
          <w:color w:val="auto"/>
          <w:sz w:val="20"/>
        </w:rPr>
      </w:pPr>
    </w:p>
    <w:p>
      <w:pPr>
        <w:tabs>
          <w:tab w:val="left" w:pos="4065"/>
          <w:tab w:val="left" w:pos="5466"/>
          <w:tab w:val="left" w:pos="7005"/>
        </w:tabs>
        <w:spacing w:before="219"/>
        <w:ind w:left="2946"/>
        <w:rPr>
          <w:color w:val="auto"/>
          <w:sz w:val="28"/>
        </w:rPr>
      </w:pPr>
      <w:r>
        <w:rPr>
          <w:rFonts w:ascii="Times New Roman" w:eastAsia="Times New Roman"/>
          <w:color w:val="auto"/>
          <w:sz w:val="28"/>
          <w:u w:val="single"/>
        </w:rPr>
        <w:tab/>
      </w:r>
      <w:r>
        <w:rPr>
          <w:color w:val="auto"/>
          <w:sz w:val="28"/>
        </w:rPr>
        <w:t>年</w:t>
      </w:r>
      <w:r>
        <w:rPr>
          <w:color w:val="auto"/>
          <w:sz w:val="28"/>
          <w:u w:val="single"/>
        </w:rPr>
        <w:tab/>
      </w:r>
      <w:r>
        <w:rPr>
          <w:color w:val="auto"/>
          <w:sz w:val="28"/>
        </w:rPr>
        <w:t>月</w:t>
      </w:r>
      <w:r>
        <w:rPr>
          <w:color w:val="auto"/>
          <w:sz w:val="28"/>
          <w:u w:val="single"/>
        </w:rPr>
        <w:tab/>
      </w:r>
      <w:r>
        <w:rPr>
          <w:color w:val="auto"/>
          <w:sz w:val="28"/>
        </w:rPr>
        <w:t>日</w:t>
      </w:r>
    </w:p>
    <w:p>
      <w:pPr>
        <w:rPr>
          <w:color w:val="auto"/>
          <w:sz w:val="28"/>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13"/>
        <w:rPr>
          <w:color w:val="auto"/>
          <w:sz w:val="20"/>
        </w:rPr>
      </w:pPr>
    </w:p>
    <w:p>
      <w:pPr>
        <w:pStyle w:val="13"/>
        <w:spacing w:before="6"/>
        <w:rPr>
          <w:color w:val="auto"/>
          <w:sz w:val="17"/>
        </w:rPr>
      </w:pPr>
    </w:p>
    <w:p>
      <w:pPr>
        <w:tabs>
          <w:tab w:val="left" w:pos="747"/>
        </w:tabs>
        <w:spacing w:before="50"/>
        <w:ind w:left="27"/>
        <w:jc w:val="center"/>
        <w:rPr>
          <w:b/>
          <w:bCs/>
          <w:color w:val="auto"/>
          <w:sz w:val="36"/>
        </w:rPr>
      </w:pPr>
      <w:r>
        <w:rPr>
          <w:b/>
          <w:bCs/>
          <w:color w:val="auto"/>
          <w:sz w:val="36"/>
        </w:rPr>
        <w:t>目</w:t>
      </w:r>
      <w:r>
        <w:rPr>
          <w:b/>
          <w:bCs/>
          <w:color w:val="auto"/>
          <w:sz w:val="36"/>
        </w:rPr>
        <w:tab/>
      </w:r>
      <w:r>
        <w:rPr>
          <w:b/>
          <w:bCs/>
          <w:color w:val="auto"/>
          <w:sz w:val="36"/>
        </w:rPr>
        <w:t>录</w:t>
      </w:r>
    </w:p>
    <w:p>
      <w:pPr>
        <w:pStyle w:val="13"/>
        <w:spacing w:before="10"/>
        <w:rPr>
          <w:color w:val="auto"/>
          <w:sz w:val="36"/>
        </w:rPr>
      </w:pPr>
    </w:p>
    <w:p>
      <w:pPr>
        <w:rPr>
          <w:color w:val="auto"/>
        </w:rPr>
      </w:pPr>
    </w:p>
    <w:p>
      <w:pPr>
        <w:spacing w:before="215" w:line="328" w:lineRule="auto"/>
        <w:ind w:left="880" w:leftChars="400" w:right="3"/>
        <w:rPr>
          <w:color w:val="auto"/>
          <w:sz w:val="24"/>
        </w:rPr>
      </w:pPr>
      <w:r>
        <w:rPr>
          <w:color w:val="auto"/>
          <w:sz w:val="24"/>
        </w:rPr>
        <w:t>一、投标函</w:t>
      </w:r>
    </w:p>
    <w:p>
      <w:pPr>
        <w:spacing w:before="19" w:line="256" w:lineRule="auto"/>
        <w:ind w:left="880" w:leftChars="400" w:right="3"/>
        <w:rPr>
          <w:color w:val="auto"/>
          <w:sz w:val="24"/>
        </w:rPr>
      </w:pPr>
      <w:r>
        <w:rPr>
          <w:color w:val="auto"/>
          <w:sz w:val="24"/>
        </w:rPr>
        <w:t>二、已标价工程量清单</w:t>
      </w:r>
    </w:p>
    <w:p>
      <w:pPr>
        <w:spacing w:line="256" w:lineRule="auto"/>
        <w:ind w:left="880" w:leftChars="400"/>
        <w:rPr>
          <w:color w:val="auto"/>
          <w:sz w:val="24"/>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pStyle w:val="13"/>
        <w:rPr>
          <w:color w:val="auto"/>
          <w:sz w:val="20"/>
        </w:rPr>
      </w:pPr>
    </w:p>
    <w:p>
      <w:pPr>
        <w:pStyle w:val="9"/>
        <w:spacing w:before="81"/>
        <w:ind w:right="1492"/>
        <w:jc w:val="center"/>
        <w:rPr>
          <w:b/>
          <w:bCs/>
          <w:color w:val="auto"/>
          <w:sz w:val="30"/>
          <w:szCs w:val="30"/>
        </w:rPr>
      </w:pPr>
      <w:r>
        <w:rPr>
          <w:b/>
          <w:bCs/>
          <w:color w:val="auto"/>
          <w:sz w:val="30"/>
          <w:szCs w:val="30"/>
        </w:rPr>
        <w:t>一、投标函</w:t>
      </w:r>
    </w:p>
    <w:p>
      <w:pPr>
        <w:pStyle w:val="13"/>
        <w:spacing w:before="4"/>
        <w:rPr>
          <w:color w:val="auto"/>
          <w:sz w:val="31"/>
        </w:rPr>
      </w:pPr>
    </w:p>
    <w:p>
      <w:pPr>
        <w:pStyle w:val="10"/>
        <w:tabs>
          <w:tab w:val="left" w:pos="3798"/>
        </w:tabs>
        <w:spacing w:before="1"/>
        <w:rPr>
          <w:color w:val="auto"/>
        </w:rPr>
      </w:pPr>
      <w:r>
        <w:rPr>
          <w:rFonts w:ascii="Times New Roman" w:eastAsia="Times New Roman"/>
          <w:color w:val="auto"/>
          <w:u w:val="single"/>
        </w:rPr>
        <w:tab/>
      </w:r>
      <w:r>
        <w:rPr>
          <w:color w:val="auto"/>
        </w:rPr>
        <w:t>（招标人名称）：</w:t>
      </w:r>
    </w:p>
    <w:p>
      <w:pPr>
        <w:pStyle w:val="13"/>
        <w:spacing w:before="5"/>
        <w:rPr>
          <w:color w:val="auto"/>
          <w:sz w:val="26"/>
        </w:rPr>
      </w:pPr>
    </w:p>
    <w:p>
      <w:pPr>
        <w:pStyle w:val="31"/>
        <w:numPr>
          <w:ilvl w:val="0"/>
          <w:numId w:val="8"/>
        </w:numPr>
        <w:tabs>
          <w:tab w:val="left" w:pos="1279"/>
          <w:tab w:val="left" w:pos="5718"/>
          <w:tab w:val="left" w:pos="8238"/>
          <w:tab w:val="left" w:pos="9553"/>
        </w:tabs>
        <w:spacing w:before="74" w:line="360" w:lineRule="auto"/>
        <w:ind w:right="3" w:firstLine="480"/>
        <w:rPr>
          <w:color w:val="auto"/>
          <w:sz w:val="24"/>
        </w:rPr>
      </w:pPr>
      <w:r>
        <w:rPr>
          <w:color w:val="auto"/>
          <w:sz w:val="24"/>
        </w:rPr>
        <w:t>我方已仔细研究</w:t>
      </w:r>
      <w:r>
        <w:rPr>
          <w:color w:val="auto"/>
          <w:sz w:val="24"/>
          <w:u w:val="single"/>
        </w:rPr>
        <w:tab/>
      </w:r>
      <w:r>
        <w:rPr>
          <w:color w:val="auto"/>
          <w:sz w:val="24"/>
        </w:rPr>
        <w:t>（项目名称）施工招标文件的全部内容（含补遗书），在考察工程现场后，愿意以人民币（大写）</w:t>
      </w:r>
      <w:r>
        <w:rPr>
          <w:color w:val="auto"/>
          <w:spacing w:val="-17"/>
          <w:sz w:val="24"/>
        </w:rPr>
        <w:t>元</w:t>
      </w:r>
    </w:p>
    <w:p>
      <w:pPr>
        <w:tabs>
          <w:tab w:val="left" w:pos="1886"/>
          <w:tab w:val="left" w:pos="3192"/>
        </w:tabs>
        <w:spacing w:line="360" w:lineRule="auto"/>
        <w:ind w:left="438" w:right="3"/>
        <w:rPr>
          <w:color w:val="auto"/>
          <w:sz w:val="24"/>
        </w:rPr>
      </w:pPr>
      <w:r>
        <w:rPr>
          <w:color w:val="auto"/>
        </w:rPr>
        <mc:AlternateContent>
          <mc:Choice Requires="wps">
            <w:drawing>
              <wp:anchor distT="0" distB="0" distL="114300" distR="114300" simplePos="0" relativeHeight="251667456" behindDoc="1" locked="0" layoutInCell="1" allowOverlap="1">
                <wp:simplePos x="0" y="0"/>
                <wp:positionH relativeFrom="page">
                  <wp:posOffset>1129030</wp:posOffset>
                </wp:positionH>
                <wp:positionV relativeFrom="paragraph">
                  <wp:posOffset>177165</wp:posOffset>
                </wp:positionV>
                <wp:extent cx="690880" cy="0"/>
                <wp:effectExtent l="0" t="0" r="0" b="0"/>
                <wp:wrapNone/>
                <wp:docPr id="74" name="直接连接符 74"/>
                <wp:cNvGraphicFramePr/>
                <a:graphic xmlns:a="http://schemas.openxmlformats.org/drawingml/2006/main">
                  <a:graphicData uri="http://schemas.microsoft.com/office/word/2010/wordprocessingShape">
                    <wps:wsp>
                      <wps:cNvCnPr/>
                      <wps:spPr>
                        <a:xfrm>
                          <a:off x="0" y="0"/>
                          <a:ext cx="690880" cy="0"/>
                        </a:xfrm>
                        <a:prstGeom prst="line">
                          <a:avLst/>
                        </a:prstGeom>
                        <a:ln w="7621"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88.9pt;margin-top:13.95pt;height:0pt;width:54.4pt;mso-position-horizontal-relative:page;z-index:-251649024;mso-width-relative:page;mso-height-relative:page;" filled="f" stroked="t" coordsize="21600,21600" o:gfxdata="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nh0el2AAAAAkBAAAPAAAAAAAAAAEAIAAAACIAAABkcnMvZG93bnJldi54bWxQSwECFAAU&#10;AAAACACHTuJAYw5wa/EBAADnAwAADgAAAAAAAAABACAAAAAnAQAAZHJzL2Uyb0RvYy54bWxQSwUG&#10;AAAAAAYABgBZAQAAigUAAAAA&#10;">
                <v:fill on="f" focussize="0,0"/>
                <v:stroke weight="0.60007874015748pt" color="#000000" joinstyle="round"/>
                <v:imagedata o:title=""/>
                <o:lock v:ext="edit" aspectratio="f"/>
              </v:line>
            </w:pict>
          </mc:Fallback>
        </mc:AlternateContent>
      </w:r>
      <w:r>
        <w:rPr>
          <w:color w:val="auto"/>
          <w:sz w:val="24"/>
        </w:rPr>
        <w:t>（¥</w:t>
      </w:r>
      <w:r>
        <w:rPr>
          <w:color w:val="auto"/>
          <w:sz w:val="24"/>
        </w:rPr>
        <w:tab/>
      </w:r>
      <w:r>
        <w:rPr>
          <w:color w:val="auto"/>
          <w:sz w:val="24"/>
        </w:rPr>
        <w:t>）的投标总报价，按合同约定实施和完成承包工程，修补工程中的任何缺陷</w:t>
      </w:r>
      <w:r>
        <w:rPr>
          <w:color w:val="auto"/>
          <w:spacing w:val="-17"/>
          <w:sz w:val="24"/>
        </w:rPr>
        <w:t>。</w:t>
      </w:r>
    </w:p>
    <w:p>
      <w:pPr>
        <w:pStyle w:val="31"/>
        <w:numPr>
          <w:ilvl w:val="0"/>
          <w:numId w:val="8"/>
        </w:numPr>
        <w:tabs>
          <w:tab w:val="left" w:pos="1279"/>
        </w:tabs>
        <w:spacing w:before="1" w:line="360" w:lineRule="auto"/>
        <w:ind w:right="3" w:firstLine="480"/>
        <w:rPr>
          <w:color w:val="auto"/>
          <w:sz w:val="24"/>
        </w:rPr>
      </w:pPr>
      <w:r>
        <w:rPr>
          <w:color w:val="auto"/>
          <w:spacing w:val="-1"/>
          <w:sz w:val="24"/>
        </w:rPr>
        <w:t>在合同协议书正式签署生效之前，本投标函连同你方的中标通知书将构成我们双</w:t>
      </w:r>
      <w:r>
        <w:rPr>
          <w:color w:val="auto"/>
          <w:sz w:val="24"/>
        </w:rPr>
        <w:t>方之间共同遵守的文件，对双方具有约束力。</w:t>
      </w:r>
    </w:p>
    <w:p>
      <w:pPr>
        <w:pStyle w:val="31"/>
        <w:numPr>
          <w:ilvl w:val="0"/>
          <w:numId w:val="8"/>
        </w:numPr>
        <w:tabs>
          <w:tab w:val="left" w:pos="1279"/>
          <w:tab w:val="left" w:pos="6318"/>
        </w:tabs>
        <w:spacing w:line="360" w:lineRule="auto"/>
        <w:ind w:left="1278"/>
        <w:rPr>
          <w:color w:val="auto"/>
          <w:sz w:val="24"/>
        </w:rPr>
      </w:pPr>
      <w:r>
        <w:rPr>
          <w:rFonts w:ascii="Times New Roman" w:eastAsia="Times New Roman"/>
          <w:color w:val="auto"/>
          <w:sz w:val="24"/>
          <w:u w:val="single"/>
        </w:rPr>
        <w:tab/>
      </w:r>
      <w:r>
        <w:rPr>
          <w:color w:val="auto"/>
        </w:rPr>
        <w:t>(其他补充说明）</w:t>
      </w:r>
      <w:r>
        <w:rPr>
          <w:color w:val="auto"/>
          <w:sz w:val="24"/>
        </w:rPr>
        <w:t>。</w:t>
      </w:r>
    </w:p>
    <w:p>
      <w:pPr>
        <w:pStyle w:val="13"/>
        <w:spacing w:before="6" w:line="360" w:lineRule="auto"/>
        <w:rPr>
          <w:color w:val="auto"/>
          <w:sz w:val="26"/>
        </w:rPr>
      </w:pPr>
    </w:p>
    <w:p>
      <w:pPr>
        <w:pStyle w:val="10"/>
        <w:tabs>
          <w:tab w:val="left" w:pos="7488"/>
          <w:tab w:val="left" w:pos="8238"/>
          <w:tab w:val="left" w:pos="9078"/>
          <w:tab w:val="left" w:pos="9198"/>
        </w:tabs>
        <w:spacing w:before="74" w:line="280" w:lineRule="auto"/>
        <w:ind w:left="3558" w:right="3" w:hanging="30"/>
        <w:rPr>
          <w:rFonts w:hint="eastAsia" w:eastAsia="宋体"/>
          <w:color w:val="auto"/>
          <w:lang w:eastAsia="zh-CN"/>
        </w:rPr>
      </w:pPr>
      <w:r>
        <w:rPr>
          <w:color w:val="auto"/>
        </w:rPr>
        <w:t>投标人：</w:t>
      </w:r>
      <w:r>
        <w:rPr>
          <w:color w:val="auto"/>
          <w:u w:val="single"/>
        </w:rPr>
        <w:tab/>
      </w:r>
      <w:r>
        <w:rPr>
          <w:color w:val="auto"/>
        </w:rPr>
        <w:t>（盖单位章）</w:t>
      </w:r>
    </w:p>
    <w:p>
      <w:pPr>
        <w:pStyle w:val="10"/>
        <w:tabs>
          <w:tab w:val="left" w:pos="7488"/>
          <w:tab w:val="left" w:pos="8238"/>
          <w:tab w:val="left" w:pos="9078"/>
          <w:tab w:val="left" w:pos="9198"/>
        </w:tabs>
        <w:spacing w:before="74" w:line="280" w:lineRule="auto"/>
        <w:ind w:left="3558" w:right="3" w:hanging="30"/>
        <w:rPr>
          <w:rFonts w:hint="eastAsia" w:eastAsia="宋体"/>
          <w:color w:val="auto"/>
          <w:spacing w:val="-19"/>
          <w:lang w:eastAsia="zh-CN"/>
        </w:rPr>
      </w:pPr>
      <w:r>
        <w:rPr>
          <w:color w:val="auto"/>
        </w:rPr>
        <w:t>法定代表人或其委托代理人：</w:t>
      </w:r>
      <w:r>
        <w:rPr>
          <w:color w:val="auto"/>
          <w:u w:val="single"/>
        </w:rPr>
        <w:tab/>
      </w:r>
      <w:r>
        <w:rPr>
          <w:color w:val="auto"/>
          <w:u w:val="single"/>
        </w:rPr>
        <w:tab/>
      </w:r>
      <w:r>
        <w:rPr>
          <w:color w:val="auto"/>
        </w:rPr>
        <w:t>（签字</w:t>
      </w:r>
      <w:r>
        <w:rPr>
          <w:color w:val="auto"/>
          <w:spacing w:val="-19"/>
        </w:rPr>
        <w:t>）</w:t>
      </w:r>
    </w:p>
    <w:p>
      <w:pPr>
        <w:pStyle w:val="10"/>
        <w:tabs>
          <w:tab w:val="left" w:pos="7488"/>
          <w:tab w:val="left" w:pos="8238"/>
          <w:tab w:val="left" w:pos="9078"/>
          <w:tab w:val="left" w:pos="9198"/>
        </w:tabs>
        <w:spacing w:before="74" w:line="280" w:lineRule="auto"/>
        <w:ind w:left="3558" w:right="3" w:hanging="30"/>
        <w:rPr>
          <w:rFonts w:hint="eastAsia" w:ascii="Times New Roman" w:eastAsia="宋体"/>
          <w:color w:val="auto"/>
          <w:u w:val="single"/>
          <w:lang w:eastAsia="zh-CN"/>
        </w:rPr>
      </w:pPr>
      <w:r>
        <w:rPr>
          <w:color w:val="auto"/>
        </w:rPr>
        <w:t>地址：</w:t>
      </w:r>
      <w:r>
        <w:rPr>
          <w:rFonts w:ascii="Times New Roman" w:eastAsia="Times New Roman"/>
          <w:color w:val="auto"/>
          <w:u w:val="single"/>
        </w:rPr>
        <w:tab/>
      </w:r>
      <w:r>
        <w:rPr>
          <w:rFonts w:ascii="Times New Roman" w:eastAsia="Times New Roman"/>
          <w:color w:val="auto"/>
          <w:u w:val="single"/>
        </w:rPr>
        <w:tab/>
      </w:r>
    </w:p>
    <w:p>
      <w:pPr>
        <w:pStyle w:val="10"/>
        <w:tabs>
          <w:tab w:val="left" w:pos="7488"/>
          <w:tab w:val="left" w:pos="8238"/>
          <w:tab w:val="left" w:pos="9078"/>
          <w:tab w:val="left" w:pos="9198"/>
        </w:tabs>
        <w:spacing w:before="74" w:line="280" w:lineRule="auto"/>
        <w:ind w:left="3558" w:right="1005" w:hanging="30"/>
        <w:rPr>
          <w:rFonts w:hint="eastAsia" w:ascii="Times New Roman" w:eastAsia="宋体"/>
          <w:color w:val="auto"/>
          <w:u w:val="single"/>
          <w:lang w:eastAsia="zh-CN"/>
        </w:rPr>
      </w:pPr>
      <w:r>
        <w:rPr>
          <w:color w:val="auto"/>
        </w:rPr>
        <w:t>网址：</w:t>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p>
    <w:p>
      <w:pPr>
        <w:pStyle w:val="10"/>
        <w:tabs>
          <w:tab w:val="left" w:pos="7488"/>
          <w:tab w:val="left" w:pos="8238"/>
          <w:tab w:val="left" w:pos="9078"/>
          <w:tab w:val="left" w:pos="9198"/>
        </w:tabs>
        <w:spacing w:before="74" w:line="280" w:lineRule="auto"/>
        <w:ind w:left="3558" w:right="1005" w:hanging="30"/>
        <w:rPr>
          <w:rFonts w:hint="eastAsia" w:ascii="Times New Roman" w:eastAsia="宋体"/>
          <w:color w:val="auto"/>
          <w:u w:val="single"/>
          <w:lang w:eastAsia="zh-CN"/>
        </w:rPr>
      </w:pPr>
      <w:r>
        <w:rPr>
          <w:color w:val="auto"/>
        </w:rPr>
        <w:t>电话：</w:t>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p>
    <w:p>
      <w:pPr>
        <w:pStyle w:val="10"/>
        <w:tabs>
          <w:tab w:val="left" w:pos="7488"/>
          <w:tab w:val="left" w:pos="8238"/>
          <w:tab w:val="left" w:pos="9078"/>
          <w:tab w:val="left" w:pos="9198"/>
        </w:tabs>
        <w:spacing w:before="74" w:line="280" w:lineRule="auto"/>
        <w:ind w:left="3558" w:right="1005" w:hanging="30"/>
        <w:rPr>
          <w:rFonts w:ascii="Times New Roman" w:eastAsia="Times New Roman"/>
          <w:color w:val="auto"/>
          <w:u w:val="single"/>
        </w:rPr>
      </w:pPr>
      <w:r>
        <w:rPr>
          <w:color w:val="auto"/>
        </w:rPr>
        <w:t>传真：</w:t>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p>
    <w:p>
      <w:pPr>
        <w:pStyle w:val="10"/>
        <w:tabs>
          <w:tab w:val="left" w:pos="7488"/>
          <w:tab w:val="left" w:pos="8238"/>
          <w:tab w:val="left" w:pos="9078"/>
          <w:tab w:val="left" w:pos="9198"/>
        </w:tabs>
        <w:spacing w:before="74" w:line="280" w:lineRule="auto"/>
        <w:ind w:left="3558" w:right="1005" w:hanging="30"/>
        <w:rPr>
          <w:rFonts w:ascii="Times New Roman" w:eastAsia="Times New Roman"/>
          <w:color w:val="auto"/>
        </w:rPr>
      </w:pPr>
      <w:r>
        <w:rPr>
          <w:color w:val="auto"/>
        </w:rPr>
        <w:t>邮政编码：</w:t>
      </w:r>
      <w:r>
        <w:rPr>
          <w:rFonts w:ascii="Times New Roman" w:eastAsia="Times New Roman"/>
          <w:color w:val="auto"/>
          <w:u w:val="single"/>
        </w:rPr>
        <w:tab/>
      </w:r>
      <w:r>
        <w:rPr>
          <w:rFonts w:ascii="Times New Roman" w:eastAsia="Times New Roman"/>
          <w:color w:val="auto"/>
          <w:u w:val="single"/>
        </w:rPr>
        <w:tab/>
      </w:r>
      <w:r>
        <w:rPr>
          <w:rFonts w:ascii="Times New Roman" w:eastAsia="Times New Roman"/>
          <w:color w:val="auto"/>
          <w:u w:val="single"/>
        </w:rPr>
        <w:tab/>
      </w:r>
    </w:p>
    <w:p>
      <w:pPr>
        <w:pStyle w:val="13"/>
        <w:rPr>
          <w:rFonts w:ascii="Times New Roman"/>
          <w:color w:val="auto"/>
          <w:sz w:val="25"/>
        </w:rPr>
      </w:pPr>
    </w:p>
    <w:p>
      <w:pPr>
        <w:tabs>
          <w:tab w:val="left" w:pos="6078"/>
          <w:tab w:val="left" w:pos="7278"/>
          <w:tab w:val="left" w:pos="8478"/>
        </w:tabs>
        <w:spacing w:before="74"/>
        <w:ind w:left="4638"/>
        <w:rPr>
          <w:color w:val="auto"/>
          <w:sz w:val="24"/>
        </w:rPr>
      </w:pPr>
      <w:r>
        <w:rPr>
          <w:rFonts w:ascii="Times New Roman" w:eastAsia="Times New Roman"/>
          <w:color w:val="auto"/>
          <w:sz w:val="24"/>
          <w:u w:val="single"/>
        </w:rPr>
        <w:tab/>
      </w:r>
      <w:r>
        <w:rPr>
          <w:color w:val="auto"/>
          <w:sz w:val="24"/>
        </w:rPr>
        <w:t>年</w:t>
      </w:r>
      <w:r>
        <w:rPr>
          <w:color w:val="auto"/>
          <w:sz w:val="24"/>
          <w:u w:val="single"/>
        </w:rPr>
        <w:tab/>
      </w:r>
      <w:r>
        <w:rPr>
          <w:color w:val="auto"/>
          <w:sz w:val="24"/>
        </w:rPr>
        <w:t>月</w:t>
      </w:r>
      <w:r>
        <w:rPr>
          <w:color w:val="auto"/>
          <w:sz w:val="24"/>
          <w:u w:val="single"/>
        </w:rPr>
        <w:tab/>
      </w:r>
      <w:r>
        <w:rPr>
          <w:color w:val="auto"/>
          <w:sz w:val="24"/>
        </w:rPr>
        <w:t>日</w:t>
      </w: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pStyle w:val="13"/>
        <w:rPr>
          <w:color w:val="auto"/>
          <w:sz w:val="20"/>
        </w:rPr>
      </w:pPr>
    </w:p>
    <w:p>
      <w:pPr>
        <w:rPr>
          <w:color w:val="auto"/>
          <w:sz w:val="18"/>
        </w:rPr>
        <w:sectPr>
          <w:pgSz w:w="11911" w:h="16838"/>
          <w:pgMar w:top="1247" w:right="1134" w:bottom="1247" w:left="1134" w:header="737" w:footer="850" w:gutter="0"/>
          <w:pgNumType w:fmt="numberInDash"/>
          <w:cols w:space="0" w:num="1"/>
          <w:rtlGutter w:val="0"/>
          <w:docGrid w:linePitch="0" w:charSpace="0"/>
        </w:sectPr>
      </w:pPr>
    </w:p>
    <w:p>
      <w:pPr>
        <w:pStyle w:val="13"/>
        <w:rPr>
          <w:color w:val="auto"/>
          <w:sz w:val="20"/>
        </w:rPr>
      </w:pPr>
    </w:p>
    <w:p>
      <w:pPr>
        <w:spacing w:before="3" w:line="364" w:lineRule="auto"/>
        <w:ind w:right="408"/>
        <w:jc w:val="center"/>
        <w:rPr>
          <w:b/>
          <w:bCs/>
          <w:color w:val="auto"/>
          <w:sz w:val="24"/>
        </w:rPr>
      </w:pPr>
    </w:p>
    <w:p>
      <w:pPr>
        <w:spacing w:before="3" w:line="364" w:lineRule="auto"/>
        <w:ind w:right="408"/>
        <w:jc w:val="center"/>
        <w:rPr>
          <w:b/>
          <w:bCs/>
          <w:color w:val="auto"/>
          <w:sz w:val="24"/>
        </w:rPr>
      </w:pPr>
      <w:r>
        <w:rPr>
          <w:rFonts w:hint="eastAsia"/>
          <w:b/>
          <w:bCs/>
          <w:color w:val="auto"/>
          <w:sz w:val="24"/>
        </w:rPr>
        <w:t>二、已标价工程量清单</w:t>
      </w:r>
    </w:p>
    <w:p>
      <w:pPr>
        <w:spacing w:before="3" w:line="364" w:lineRule="auto"/>
        <w:ind w:left="858" w:right="408"/>
        <w:jc w:val="both"/>
        <w:rPr>
          <w:b/>
          <w:bCs/>
          <w:color w:val="auto"/>
          <w:sz w:val="24"/>
        </w:rPr>
      </w:pPr>
    </w:p>
    <w:p>
      <w:pPr>
        <w:spacing w:before="3" w:line="364" w:lineRule="auto"/>
        <w:ind w:right="408" w:firstLine="480" w:firstLineChars="200"/>
        <w:rPr>
          <w:color w:val="auto"/>
          <w:sz w:val="24"/>
        </w:rPr>
      </w:pPr>
      <w:r>
        <w:rPr>
          <w:rFonts w:hint="eastAsia"/>
          <w:color w:val="auto"/>
          <w:sz w:val="24"/>
        </w:rPr>
        <w:t>投标人应按照第五章“工程量清单”的要求逐项填报工程量清单，工程量清单不需要附单价分析表，但投标人中标后，发包人的要求中标人提交项目清单、分项清单、及单价分析表，中标人不得拒绝。</w:t>
      </w:r>
    </w:p>
    <w:p>
      <w:pPr>
        <w:rPr>
          <w:color w:val="auto"/>
        </w:rPr>
      </w:pPr>
    </w:p>
    <w:sectPr>
      <w:pgSz w:w="11911" w:h="16838"/>
      <w:pgMar w:top="1247" w:right="1134" w:bottom="1247" w:left="1134" w:header="737" w:footer="850" w:gutter="0"/>
      <w:pgNumType w:fmt="numberInDash"/>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ngLiU">
    <w:altName w:val="PMingLiU-ExtB"/>
    <w:panose1 w:val="02020509000000000000"/>
    <w:charset w:val="88"/>
    <w:family w:val="modern"/>
    <w:pitch w:val="default"/>
    <w:sig w:usb0="00000000" w:usb1="00000000" w:usb2="00000016" w:usb3="00000000" w:csb0="00100001" w:csb1="00000000"/>
  </w:font>
  <w:font w:name="Sylfaen">
    <w:panose1 w:val="010A0502050306030303"/>
    <w:charset w:val="00"/>
    <w:family w:val="roman"/>
    <w:pitch w:val="default"/>
    <w:sig w:usb0="04000687" w:usb1="00000000" w:usb2="00000000" w:usb3="00000000" w:csb0="2000009F" w:csb1="00000000"/>
  </w:font>
  <w:font w:name="PMingLiU-ExtB">
    <w:panose1 w:val="02020500000000000000"/>
    <w:charset w:val="88"/>
    <w:family w:val="auto"/>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9" name="文本框 1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2Lu/Y0AgAAZQ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8ZvKTFMo+SnH99P&#10;Px9Ov76RdAiJGhdmiLx3iI3tO9sifDgPOEzM28rr9AUnAj8EPl4EFm0kPF2aTqbTHC4O37ABfvZ4&#10;3fkQ3wurSTIK6lHBTlh22ITYhw4hKZuxa6lUV0VlSFPQq9dv8u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9i7v2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9" name="文本框 1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- 47 -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nzkI0AgAAZQ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yZvKTFMo+SnH99P&#10;Px9Ov76RdAiJGhdmiLx3iI3tO9sifDgPOEzM28rr9AUnAj8EPl4EFm0kPF2aTqbTHC4O37ABfvZ4&#10;3fkQ3wurSTIK6lHBTlh22ITYhw4hKZuxa6lUV0VlSFPQq9dv8u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I585C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- 47 -</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0" name="文本框 1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- 54 -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GLfzs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GLfzszAgAAZQQAAA4AAAAAAAAAAQAgAAAAHwEAAGRycy9lMm9Eb2MueG1sUEsF&#10;BgAAAAAGAAYAWQEAAMQ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- 54 -</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1"/>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1" name="文本框 1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- 62 -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o34aczAgAAZQQAAA4AAAAAAAAAAQAgAAAAHwEAAGRycy9lMm9Eb2MueG1sUEsF&#10;BgAAAAAGAAYAWQEAAMQ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- 62 -</w:t>
                    </w:r>
                    <w:r>
                      <w:fldChar w:fldCharType="end"/>
                    </w:r>
                  </w:p>
                </w:txbxContent>
              </v:textbox>
            </v:shape>
          </w:pict>
        </mc:Fallback>
      </mc:AlternateContent>
    </w:r>
    <w:r>
      <mc:AlternateContent>
        <mc:Choice Requires="wps">
          <w:drawing>
            <wp:anchor distT="0" distB="0" distL="114300" distR="114300" simplePos="0" relativeHeight="251670528" behindDoc="1" locked="0" layoutInCell="1" allowOverlap="1">
              <wp:simplePos x="0" y="0"/>
              <wp:positionH relativeFrom="page">
                <wp:posOffset>6365240</wp:posOffset>
              </wp:positionH>
              <wp:positionV relativeFrom="page">
                <wp:posOffset>10001250</wp:posOffset>
              </wp:positionV>
              <wp:extent cx="196850" cy="1397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96850" cy="139700"/>
                      </a:xfrm>
                      <a:prstGeom prst="rect">
                        <a:avLst/>
                      </a:prstGeom>
                      <a:noFill/>
                      <a:ln w="9525">
                        <a:noFill/>
                      </a:ln>
                      <a:effectLst/>
                    </wps:spPr>
                    <wps:txbx>
                      <w:txbxContent>
                        <w:p>
                          <w:pPr>
                            <w:spacing w:line="220" w:lineRule="exact"/>
                            <w:ind w:left="20"/>
                            <w:rPr>
                              <w:sz w:val="18"/>
                            </w:rPr>
                          </w:pPr>
                        </w:p>
                      </w:txbxContent>
                    </wps:txbx>
                    <wps:bodyPr lIns="0" tIns="0" rIns="0" bIns="0" upright="1"/>
                  </wps:wsp>
                </a:graphicData>
              </a:graphic>
            </wp:anchor>
          </w:drawing>
        </mc:Choice>
        <mc:Fallback>
          <w:pict>
            <v:shape id="_x0000_s1026" o:spid="_x0000_s1026" o:spt="202" type="#_x0000_t202" style="position:absolute;left:0pt;margin-left:501.2pt;margin-top:787.5pt;height:11pt;width:15.5pt;mso-position-horizontal-relative:page;mso-position-vertical-relative:page;z-index:-251645952;mso-width-relative:page;mso-height-relative:page;" filled="f" stroked="f" coordsize="21600,21600" o:gfxdata="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KZaAA3ZAAAADwEAAA8AAAAAAAAAAQAgAAAAIgAAAGRycy9k&#10;b3ducmV2LnhtbFBLAQIUABQAAAAIAIdO4kDgx3yHyAEAAIwDAAAOAAAAAAAAAAEAIAAAACgBAABk&#10;cnMvZTJvRG9jLnhtbFBLBQYAAAAABgAGAFkBAABiBQAAAAA=&#10;">
              <v:fill on="f" focussize="0,0"/>
              <v:stroke on="f"/>
              <v:imagedata o:title=""/>
              <o:lock v:ext="edit" aspectratio="f"/>
              <v:textbox inset="0mm,0mm,0mm,0mm">
                <w:txbxContent>
                  <w:p>
                    <w:pPr>
                      <w:spacing w:line="220" w:lineRule="exact"/>
                      <w:ind w:left="20"/>
                      <w:rPr>
                        <w:sz w:val="18"/>
                      </w:rPr>
                    </w:pP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- 53 -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df4lAdABAACkAwAADgAAAAAAAAABACAAAAAeAQAAZHJz&#10;L2Uyb0RvYy54bWxQSwUGAAAAAAYABgBZAQAAYAUAAAAA&#10;">
              <v:fill on="f" focussize="0,0"/>
              <v:stroke on="f"/>
              <v:imagedata o:title=""/>
              <o:lock v:ext="edit" aspectratio="f"/>
              <v:textbox inset="0mm,0mm,0mm,0mm" style="mso-fit-shape-to-text:t;">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- 53 -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- 54 -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p0kxrtABAACkAwAADgAAAAAAAAABACAAAAAeAQAAZHJz&#10;L2Uyb0RvYy54bWxQSwUGAAAAAAYABgBZAQAAYAUAAAAA&#10;">
              <v:fill on="f" focussize="0,0"/>
              <v:stroke on="f"/>
              <v:imagedata o:title=""/>
              <o:lock v:ext="edit" aspectratio="f"/>
              <v:textbox inset="0mm,0mm,0mm,0mm" style="mso-fit-shape-to-text:t;">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- 54 -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v:textbox>
            </v:shape>
          </w:pict>
        </mc:Fallback>
      </mc:AlternateContent>
    </w:r>
    <w:r>
      <mc:AlternateContent>
        <mc:Choice Requires="wps">
          <w:drawing>
            <wp:anchor distT="0" distB="0" distL="114300" distR="114300" simplePos="0" relativeHeight="251662336" behindDoc="1" locked="0" layoutInCell="1" allowOverlap="1">
              <wp:simplePos x="0" y="0"/>
              <wp:positionH relativeFrom="page">
                <wp:posOffset>6362700</wp:posOffset>
              </wp:positionH>
              <wp:positionV relativeFrom="page">
                <wp:posOffset>9999980</wp:posOffset>
              </wp:positionV>
              <wp:extent cx="196850" cy="1397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96850" cy="139700"/>
                      </a:xfrm>
                      <a:prstGeom prst="rect">
                        <a:avLst/>
                      </a:prstGeom>
                      <a:noFill/>
                      <a:ln w="9525">
                        <a:noFill/>
                      </a:ln>
                      <a:effectLst/>
                    </wps:spPr>
                    <wps:txbx>
                      <w:txbxContent>
                        <w:p>
                          <w:pPr>
                            <w:spacing w:line="220" w:lineRule="exact"/>
                            <w:rPr>
                              <w:sz w:val="18"/>
                            </w:rPr>
                          </w:pPr>
                        </w:p>
                      </w:txbxContent>
                    </wps:txbx>
                    <wps:bodyPr lIns="0" tIns="0" rIns="0" bIns="0" upright="1"/>
                  </wps:wsp>
                </a:graphicData>
              </a:graphic>
            </wp:anchor>
          </w:drawing>
        </mc:Choice>
        <mc:Fallback>
          <w:pict>
            <v:shape id="_x0000_s1026" o:spid="_x0000_s1026" o:spt="202" type="#_x0000_t202" style="position:absolute;left:0pt;margin-left:501pt;margin-top:787.4pt;height:11pt;width:15.5pt;mso-position-horizontal-relative:page;mso-position-vertical-relative:page;z-index:-251654144;mso-width-relative:page;mso-height-relative:page;" filled="f" stroked="f" coordsize="21600,21600" o:gfxdata="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PdtxNDZAAAADwEAAA8AAAAAAAAAAQAgAAAAIgAAAGRycy9k&#10;b3ducmV2LnhtbFBLAQIUABQAAAAIAIdO4kCMcY6byAEAAIwDAAAOAAAAAAAAAAEAIAAAACgBAABk&#10;cnMvZTJvRG9jLnhtbFBLBQYAAAAABgAGAFkBAABiBQAAAAA=&#10;">
              <v:fill on="f" focussize="0,0"/>
              <v:stroke on="f"/>
              <v:imagedata o:title=""/>
              <o:lock v:ext="edit" aspectratio="f"/>
              <v:textbox inset="0mm,0mm,0mm,0mm">
                <w:txbxContent>
                  <w:p>
                    <w:pPr>
                      <w:spacing w:line="220" w:lineRule="exact"/>
                      <w:rPr>
                        <w:sz w:val="18"/>
                      </w:rPr>
                    </w:pP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- 56 -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M6pebnPAAAABQEAAA8AAAAAAAAAAQAgAAAAIgAAAGRycy9kb3du&#10;cmV2LnhtbFBLAQIUABQAAAAIAIdO4kDMrQZYzwEAAKQDAAAOAAAAAAAAAAEAIAAAAB4BAABkcnMv&#10;ZTJvRG9jLnhtbFBLBQYAAAAABgAGAFkBAABfBQAAAAA=&#10;">
              <v:fill on="f" focussize="0,0"/>
              <v:stroke on="f"/>
              <v:imagedata o:title=""/>
              <o:lock v:ext="edit" aspectratio="f"/>
              <v:textbox inset="0mm,0mm,0mm,0mm" style="mso-fit-shape-to-text:t;">
                <w:txbxContent>
                  <w:p>
                    <w:pPr>
                      <w:pStyle w:val="19"/>
                      <w:rPr>
                        <w:rFonts w:hint="eastAsia" w:eastAsia="宋体"/>
                        <w:lang w:eastAsia="zh-CN"/>
                      </w:rPr>
                    </w:pPr>
                    <w:r>
                      <w:rPr>
                        <w:rFonts w:hint="eastAsia"/>
                        <w:lang w:eastAsia="zh-CN"/>
                      </w:rPr>
                      <w:t>第</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- 56 -</w:t>
                    </w:r>
                    <w:r>
                      <w:rPr>
                        <w:rFonts w:hint="eastAsia"/>
                        <w:lang w:eastAsia="zh-CN"/>
                      </w:rPr>
                      <w:fldChar w:fldCharType="end"/>
                    </w:r>
                    <w:r>
                      <w:rPr>
                        <w:rFonts w:hint="eastAsia"/>
                        <w:lang w:eastAsia="zh-CN"/>
                      </w:rPr>
                      <w:t>页共</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155</w:t>
                    </w:r>
                    <w:r>
                      <w:rPr>
                        <w:rFonts w:hint="eastAsia"/>
                        <w:lang w:eastAsia="zh-CN"/>
                      </w:rPr>
                      <w:fldChar w:fldCharType="end"/>
                    </w:r>
                    <w:r>
                      <w:rPr>
                        <w:rFonts w:hint="eastAsia"/>
                        <w:lang w:eastAsia="zh-CN"/>
                      </w:rPr>
                      <w:t>页</w:t>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2" name="文本框 1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- 107 -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MVLA0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MKDFMo+SnH99P&#10;Px9Ov76RdAiJGhdmiLx3iI3tO9sifDgPOEzM28rr9AUnAj8EPl4EFm0kPF2aTqbTHC4O37ABfvZ4&#10;3fkQ3wurSTIK6lHBTlh22ITYhw4hKZuxa6lUV0VlSFPQq9dv8+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CBDFSw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- 107 -</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
      </w:rPr>
    </w:pPr>
    <w:r>
      <w:rPr>
        <w:sz w:val="2"/>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3" name="文本框 1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- 132 -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qwyiw0AgAAZQ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qsMos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- 132 -</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4" name="文本框 1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- 143 -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mJ8U00AgAAZ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5ifFN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- 143 -</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rPr>
        <w:sz w:val="18"/>
      </w:rPr>
      <mc:AlternateContent>
        <mc:Choice Requires="wps">
          <w:drawing>
            <wp:anchor distT="0" distB="0" distL="114300" distR="114300" simplePos="0" relativeHeight="2516858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6" name="文本框 1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- 176 -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58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73va8zAgAAZQ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73va8zAgAAZQQAAA4AAAAAAAAAAQAgAAAAHwEAAGRycy9lMm9Eb2MueG1sUEsF&#10;BgAAAAAGAAYAWQEAAMQ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- 176 -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0" name="文本框 1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tg+EyAgAAZ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a2D4TICAABlBAAADgAAAAAAAAABACAAAAAfAQAAZHJzL2Uyb0RvYy54bWxQSwUG&#10;AAAAAAYABgBZAQAAwwU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1" name="文本框 1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- 3 -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YRHX0yAgAAZQ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dfTICAABlBAAADgAAAAAAAAABACAAAAAfAQAAZHJzL2Uyb0RvYy54bWxQSwUG&#10;AAAAAAYABgBZAQAAwwU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- 3 -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23" name="文本框 1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- 6 -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FvUZ8zAgAAZQ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FvUZ8zAgAAZQQAAA4AAAAAAAAAAQAgAAAAHwEAAGRycy9lMm9Eb2MueG1sUEsF&#10;BgAAAAAGAAYAWQEAAMQ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- 6 -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1"/>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6" name="文本框 1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UoJhwzAgAAZ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UoJhwzAgAAZQQAAA4AAAAAAAAAAQAgAAAAHwEAAGRycy9lMm9Eb2MueG1sUEsF&#10;BgAAAAAGAAYAWQEAAMQ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- 17 -</w:t>
                    </w:r>
                    <w:r>
                      <w:fldChar w:fldCharType="end"/>
                    </w:r>
                  </w:p>
                </w:txbxContent>
              </v:textbox>
            </v:shape>
          </w:pict>
        </mc:Fallback>
      </mc:AlternateContent>
    </w:r>
    <w:r>
      <mc:AlternateContent>
        <mc:Choice Requires="wps">
          <w:drawing>
            <wp:anchor distT="0" distB="0" distL="114300" distR="114300" simplePos="0" relativeHeight="251659264" behindDoc="1" locked="0" layoutInCell="1" allowOverlap="1">
              <wp:simplePos x="0" y="0"/>
              <wp:positionH relativeFrom="page">
                <wp:posOffset>6446520</wp:posOffset>
              </wp:positionH>
              <wp:positionV relativeFrom="page">
                <wp:posOffset>10020300</wp:posOffset>
              </wp:positionV>
              <wp:extent cx="160020" cy="16129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60020" cy="161290"/>
                      </a:xfrm>
                      <a:prstGeom prst="rect">
                        <a:avLst/>
                      </a:prstGeom>
                      <a:noFill/>
                      <a:ln w="9525">
                        <a:noFill/>
                      </a:ln>
                      <a:effectLst/>
                    </wps:spPr>
                    <wps:txbx>
                      <w:txbxContent>
                        <w:p>
                          <w:pPr>
                            <w:spacing w:line="240" w:lineRule="exact"/>
                            <w:rPr>
                              <w:rFonts w:ascii="Sylfaen"/>
                              <w:i/>
                              <w:sz w:val="21"/>
                            </w:rPr>
                          </w:pPr>
                        </w:p>
                      </w:txbxContent>
                    </wps:txbx>
                    <wps:bodyPr lIns="0" tIns="0" rIns="0" bIns="0" upright="1"/>
                  </wps:wsp>
                </a:graphicData>
              </a:graphic>
            </wp:anchor>
          </w:drawing>
        </mc:Choice>
        <mc:Fallback>
          <w:pict>
            <v:shape id="_x0000_s1026" o:spid="_x0000_s1026" o:spt="202" type="#_x0000_t202" style="position:absolute;left:0pt;margin-left:507.6pt;margin-top:789pt;height:12.7pt;width:12.6pt;mso-position-horizontal-relative:page;mso-position-vertical-relative:page;z-index:-251657216;mso-width-relative:page;mso-height-relative:page;" filled="f" stroked="f" coordsize="21600,21600" o:gfxdata="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TKAw12wAAAA8BAAAPAAAAAAAAAAEAIAAAACIAAABkcnMv&#10;ZG93bnJldi54bWxQSwECFAAUAAAACACHTuJAstN5wccBAACMAwAADgAAAAAAAAABACAAAAAqAQAA&#10;ZHJzL2Uyb0RvYy54bWxQSwUGAAAAAAYABgBZAQAAYwUAAAAA&#10;">
              <v:fill on="f" focussize="0,0"/>
              <v:stroke on="f"/>
              <v:imagedata o:title=""/>
              <o:lock v:ext="edit" aspectratio="f"/>
              <v:textbox inset="0mm,0mm,0mm,0mm">
                <w:txbxContent>
                  <w:p>
                    <w:pPr>
                      <w:spacing w:line="240" w:lineRule="exact"/>
                      <w:rPr>
                        <w:rFonts w:ascii="Sylfaen"/>
                        <w:i/>
                        <w:sz w:val="21"/>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1"/>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7" name="文本框 1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- 19 -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6UuIA0AgAAZQ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AulLiANAIAAGUEAAAOAAAAAAAAAAEAIAAAAB8BAABkcnMvZTJvRG9jLnhtbFBL&#10;BQYAAAAABgAGAFkBAADF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- 19 -</w:t>
                    </w:r>
                    <w:r>
                      <w:fldChar w:fldCharType="end"/>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page">
                <wp:posOffset>6449695</wp:posOffset>
              </wp:positionH>
              <wp:positionV relativeFrom="page">
                <wp:posOffset>9992360</wp:posOffset>
              </wp:positionV>
              <wp:extent cx="167005" cy="152400"/>
              <wp:effectExtent l="0" t="0" r="0" b="0"/>
              <wp:wrapNone/>
              <wp:docPr id="90" name="文本框 90"/>
              <wp:cNvGraphicFramePr/>
              <a:graphic xmlns:a="http://schemas.openxmlformats.org/drawingml/2006/main">
                <a:graphicData uri="http://schemas.microsoft.com/office/word/2010/wordprocessingShape">
                  <wps:wsp>
                    <wps:cNvSpPr txBox="1"/>
                    <wps:spPr>
                      <a:xfrm>
                        <a:off x="0" y="0"/>
                        <a:ext cx="167005" cy="152400"/>
                      </a:xfrm>
                      <a:prstGeom prst="rect">
                        <a:avLst/>
                      </a:prstGeom>
                      <a:noFill/>
                      <a:ln w="9525">
                        <a:noFill/>
                      </a:ln>
                      <a:effectLst/>
                    </wps:spPr>
                    <wps:txbx>
                      <w:txbxContent>
                        <w:p>
                          <w:pPr>
                            <w:spacing w:before="12"/>
                            <w:ind w:left="40"/>
                            <w:rPr>
                              <w:rFonts w:ascii="Times New Roman"/>
                              <w:sz w:val="18"/>
                            </w:rPr>
                          </w:pPr>
                        </w:p>
                      </w:txbxContent>
                    </wps:txbx>
                    <wps:bodyPr lIns="0" tIns="0" rIns="0" bIns="0" upright="1"/>
                  </wps:wsp>
                </a:graphicData>
              </a:graphic>
            </wp:anchor>
          </w:drawing>
        </mc:Choice>
        <mc:Fallback>
          <w:pict>
            <v:shape id="_x0000_s1026" o:spid="_x0000_s1026" o:spt="202" type="#_x0000_t202" style="position:absolute;left:0pt;margin-left:507.85pt;margin-top:786.8pt;height:12pt;width:13.15pt;mso-position-horizontal-relative:page;mso-position-vertical-relative:page;z-index:251662336;mso-width-relative:page;mso-height-relative:page;" filled="f" stroked="f" coordsize="21600,21600" o:gfxdata="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TtGJUNsAAAAPAQAADwAAAAAAAAABACAAAAAiAAAAZHJz&#10;L2Rvd25yZXYueG1sUEsBAhQAFAAAAAgAh07iQO4JSBfIAQAAigMAAA4AAAAAAAAAAQAgAAAAKgEA&#10;AGRycy9lMm9Eb2MueG1sUEsFBgAAAAAGAAYAWQEAAGQFAAAAAA==&#10;">
              <v:fill on="f" focussize="0,0"/>
              <v:stroke on="f"/>
              <v:imagedata o:title=""/>
              <o:lock v:ext="edit" aspectratio="f"/>
              <v:textbox inset="0mm,0mm,0mm,0mm">
                <w:txbxContent>
                  <w:p>
                    <w:pPr>
                      <w:spacing w:before="12"/>
                      <w:ind w:left="40"/>
                      <w:rPr>
                        <w:rFonts w:ascii="Times New Roman"/>
                        <w:sz w:val="18"/>
                      </w:rPr>
                    </w:pP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mc:AlternateContent>
        <mc:Choice Requires="wps">
          <w:drawing>
            <wp:anchor distT="0" distB="0" distL="114300" distR="114300" simplePos="0" relativeHeight="251660288" behindDoc="0" locked="0" layoutInCell="1" allowOverlap="1">
              <wp:simplePos x="0" y="0"/>
              <wp:positionH relativeFrom="page">
                <wp:posOffset>1009015</wp:posOffset>
              </wp:positionH>
              <wp:positionV relativeFrom="page">
                <wp:posOffset>9183370</wp:posOffset>
              </wp:positionV>
              <wp:extent cx="1828800" cy="0"/>
              <wp:effectExtent l="0" t="0" r="0" b="0"/>
              <wp:wrapNone/>
              <wp:docPr id="91" name="直接连接符 91"/>
              <wp:cNvGraphicFramePr/>
              <a:graphic xmlns:a="http://schemas.openxmlformats.org/drawingml/2006/main">
                <a:graphicData uri="http://schemas.microsoft.com/office/word/2010/wordprocessingShape">
                  <wps:wsp>
                    <wps:cNvCnPr/>
                    <wps:spPr>
                      <a:xfrm>
                        <a:off x="0" y="0"/>
                        <a:ext cx="1828800" cy="0"/>
                      </a:xfrm>
                      <a:prstGeom prst="line">
                        <a:avLst/>
                      </a:prstGeom>
                      <a:ln w="6096"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79.45pt;margin-top:723.1pt;height:0pt;width:144pt;mso-position-horizontal-relative:page;mso-position-vertical-relative:page;z-index:251660288;mso-width-relative:page;mso-height-relative:page;" filled="f" stroked="t" coordsize="21600,21600" o:gfxdata="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KqakTjXAAAADQEAAA8AAAAAAAAAAQAgAAAAIgAAAGRycy9kb3ducmV2LnhtbFBLAQIUABQA&#10;AAAIAIdO4kBg6aoi8QEAAOgDAAAOAAAAAAAAAAEAIAAAACYBAABkcnMvZTJvRG9jLnhtbFBLBQYA&#10;AAAABgAGAFkBAACJBQAAAAA=&#10;">
              <v:fill on="f" focussize="0,0"/>
              <v:stroke weight="0.48pt" color="#000000" joinstyle="round"/>
              <v:imagedata o:title=""/>
              <o:lock v:ext="edit" aspectratio="f"/>
            </v:line>
          </w:pict>
        </mc:Fallback>
      </mc:AlternateContent>
    </w:r>
    <w:r>
      <mc:AlternateContent>
        <mc:Choice Requires="wps">
          <w:drawing>
            <wp:anchor distT="0" distB="0" distL="114300" distR="114300" simplePos="0" relativeHeight="251661312" behindDoc="0" locked="0" layoutInCell="1" allowOverlap="1">
              <wp:simplePos x="0" y="0"/>
              <wp:positionH relativeFrom="page">
                <wp:posOffset>996315</wp:posOffset>
              </wp:positionH>
              <wp:positionV relativeFrom="page">
                <wp:posOffset>10012045</wp:posOffset>
              </wp:positionV>
              <wp:extent cx="141605" cy="1524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41605" cy="152400"/>
                      </a:xfrm>
                      <a:prstGeom prst="rect">
                        <a:avLst/>
                      </a:prstGeom>
                      <a:noFill/>
                      <a:ln w="9525">
                        <a:noFill/>
                      </a:ln>
                      <a:effectLst/>
                    </wps:spPr>
                    <wps:txbx>
                      <w:txbxContent>
                        <w:p>
                          <w:pPr>
                            <w:spacing w:before="12"/>
                            <w:ind w:left="20"/>
                            <w:rPr>
                              <w:rFonts w:ascii="Times New Roman"/>
                              <w:sz w:val="18"/>
                            </w:rPr>
                          </w:pPr>
                          <w:r>
                            <w:rPr>
                              <w:rFonts w:ascii="Times New Roman"/>
                              <w:sz w:val="18"/>
                            </w:rPr>
                            <w:t>62</w:t>
                          </w:r>
                        </w:p>
                      </w:txbxContent>
                    </wps:txbx>
                    <wps:bodyPr lIns="0" tIns="0" rIns="0" bIns="0" upright="1"/>
                  </wps:wsp>
                </a:graphicData>
              </a:graphic>
            </wp:anchor>
          </w:drawing>
        </mc:Choice>
        <mc:Fallback>
          <w:pict>
            <v:shape id="_x0000_s1026" o:spid="_x0000_s1026" o:spt="202" type="#_x0000_t202" style="position:absolute;left:0pt;margin-left:78.45pt;margin-top:788.35pt;height:12pt;width:11.15pt;mso-position-horizontal-relative:page;mso-position-vertical-relative:page;z-index:251661312;mso-width-relative:page;mso-height-relative:page;" filled="f" stroked="f" coordsize="21600,21600" o:gfxdata="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0fbi/9kAAAANAQAADwAAAAAAAAABACAAAAAiAAAAZHJzL2Rv&#10;d25yZXYueG1sUEsBAhQAFAAAAAgAh07iQHBMZ4/HAQAAigMAAA4AAAAAAAAAAQAgAAAAKAEAAGRy&#10;cy9lMm9Eb2MueG1sUEsFBgAAAAAGAAYAWQEAAGEFAAAAAA==&#10;">
              <v:fill on="f" focussize="0,0"/>
              <v:stroke on="f"/>
              <v:imagedata o:title=""/>
              <o:lock v:ext="edit" aspectratio="f"/>
              <v:textbox inset="0mm,0mm,0mm,0mm">
                <w:txbxContent>
                  <w:p>
                    <w:pPr>
                      <w:spacing w:before="12"/>
                      <w:ind w:left="20"/>
                      <w:rPr>
                        <w:rFonts w:ascii="Times New Roman"/>
                        <w:sz w:val="18"/>
                      </w:rPr>
                    </w:pPr>
                    <w:r>
                      <w:rPr>
                        <w:rFonts w:ascii="Times New Roman"/>
                        <w:sz w:val="18"/>
                      </w:rPr>
                      <w:t>62</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w:rPr>
        <w:sz w:val="20"/>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28" name="文本框 1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- 42 -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bUN4yAgAAZ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Y1tQ3jICAABlBAAADgAAAAAAAAABACAAAAAfAQAAZHJzL2Uyb0RvYy54bWxQSwUG&#10;AAAAAAYABgBZAQAAwwU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- 42 -</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mc:AlternateContent>
        <mc:Choice Requires="wps">
          <w:drawing>
            <wp:anchor distT="0" distB="0" distL="114300" distR="114300" simplePos="0" relativeHeight="251665408" behindDoc="0" locked="0" layoutInCell="1" allowOverlap="1">
              <wp:simplePos x="0" y="0"/>
              <wp:positionH relativeFrom="page">
                <wp:posOffset>1018540</wp:posOffset>
              </wp:positionH>
              <wp:positionV relativeFrom="page">
                <wp:posOffset>10012045</wp:posOffset>
              </wp:positionV>
              <wp:extent cx="224790" cy="152400"/>
              <wp:effectExtent l="0" t="0" r="0" b="0"/>
              <wp:wrapNone/>
              <wp:docPr id="88" name="文本框 88"/>
              <wp:cNvGraphicFramePr/>
              <a:graphic xmlns:a="http://schemas.openxmlformats.org/drawingml/2006/main">
                <a:graphicData uri="http://schemas.microsoft.com/office/word/2010/wordprocessingShape">
                  <wps:wsp>
                    <wps:cNvSpPr txBox="1"/>
                    <wps:spPr>
                      <a:xfrm>
                        <a:off x="0" y="0"/>
                        <a:ext cx="224790" cy="152400"/>
                      </a:xfrm>
                      <a:prstGeom prst="rect">
                        <a:avLst/>
                      </a:prstGeom>
                      <a:noFill/>
                      <a:ln w="9525">
                        <a:noFill/>
                      </a:ln>
                      <a:effectLst/>
                    </wps:spPr>
                    <wps:txbx>
                      <w:txbxContent>
                        <w:p>
                          <w:pPr>
                            <w:spacing w:before="12"/>
                            <w:ind w:left="40"/>
                            <w:rPr>
                              <w:rFonts w:ascii="Times New Roman"/>
                              <w:sz w:val="18"/>
                            </w:rPr>
                          </w:pPr>
                          <w:r>
                            <w:fldChar w:fldCharType="begin"/>
                          </w:r>
                          <w:r>
                            <w:rPr>
                              <w:rFonts w:ascii="Times New Roman"/>
                              <w:sz w:val="18"/>
                            </w:rPr>
                            <w:instrText xml:space="preserve"> PAGE </w:instrText>
                          </w:r>
                          <w:r>
                            <w:fldChar w:fldCharType="separate"/>
                          </w:r>
                          <w:r>
                            <w:t>100</w:t>
                          </w:r>
                          <w:r>
                            <w:fldChar w:fldCharType="end"/>
                          </w:r>
                        </w:p>
                      </w:txbxContent>
                    </wps:txbx>
                    <wps:bodyPr lIns="0" tIns="0" rIns="0" bIns="0" upright="1"/>
                  </wps:wsp>
                </a:graphicData>
              </a:graphic>
            </wp:anchor>
          </w:drawing>
        </mc:Choice>
        <mc:Fallback>
          <w:pict>
            <v:shape id="_x0000_s1026" o:spid="_x0000_s1026" o:spt="202" type="#_x0000_t202" style="position:absolute;left:0pt;margin-left:80.2pt;margin-top:788.35pt;height:12pt;width:17.7pt;mso-position-horizontal-relative:page;mso-position-vertical-relative:page;z-index:251665408;mso-width-relative:page;mso-height-relative:page;" filled="f" stroked="f" coordsize="21600,21600" o:gfxdata="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DD2jMw2QAAAA0BAAAPAAAAAAAAAAEAIAAAACIAAABkcnMv&#10;ZG93bnJldi54bWxQSwECFAAUAAAACACHTuJAgXvYvMkBAACKAwAADgAAAAAAAAABACAAAAAoAQAA&#10;ZHJzL2Uyb0RvYy54bWxQSwUGAAAAAAYABgBZAQAAYwUAAAAA&#10;">
              <v:fill on="f" focussize="0,0"/>
              <v:stroke on="f"/>
              <v:imagedata o:title=""/>
              <o:lock v:ext="edit" aspectratio="f"/>
              <v:textbox inset="0mm,0mm,0mm,0mm">
                <w:txbxContent>
                  <w:p>
                    <w:pPr>
                      <w:spacing w:before="12"/>
                      <w:ind w:left="40"/>
                      <w:rPr>
                        <w:rFonts w:ascii="Times New Roman"/>
                        <w:sz w:val="18"/>
                      </w:rPr>
                    </w:pPr>
                    <w:r>
                      <w:fldChar w:fldCharType="begin"/>
                    </w:r>
                    <w:r>
                      <w:rPr>
                        <w:rFonts w:ascii="Times New Roman"/>
                        <w:sz w:val="18"/>
                      </w:rPr>
                      <w:instrText xml:space="preserve"> PAGE </w:instrText>
                    </w:r>
                    <w:r>
                      <w:fldChar w:fldCharType="separate"/>
                    </w:r>
                    <w:r>
                      <w:t>100</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spacing w:line="14" w:lineRule="auto"/>
    </w:pPr>
  </w:p>
  <w:p>
    <w:pPr>
      <w:pStyle w:val="13"/>
      <w:pBdr>
        <w:bottom w:val="none" w:color="auto" w:sz="0" w:space="0"/>
      </w:pBdr>
      <w:spacing w:line="14" w:lineRule="auto"/>
    </w:pPr>
  </w:p>
  <w:p>
    <w:pPr>
      <w:pStyle w:val="13"/>
      <w:pBdr>
        <w:bottom w:val="none" w:color="auto" w:sz="0" w:space="0"/>
      </w:pBdr>
      <w:spacing w:line="14" w:lineRule="auto"/>
    </w:pPr>
  </w:p>
  <w:p>
    <w:pPr>
      <w:pBdr>
        <w:bottom w:val="none" w:color="auto" w:sz="0" w:space="0"/>
      </w:pBdr>
      <w:spacing w:line="220" w:lineRule="exact"/>
      <w:ind w:left="1700" w:leftChars="9" w:hanging="1680" w:hangingChars="800"/>
      <w:rPr>
        <w:sz w:val="21"/>
        <w:szCs w:val="21"/>
      </w:rPr>
    </w:pPr>
  </w:p>
  <w:p>
    <w:pPr>
      <w:pBdr>
        <w:bottom w:val="none" w:color="auto" w:sz="0" w:space="0"/>
      </w:pBdr>
      <w:spacing w:line="220" w:lineRule="exact"/>
      <w:ind w:left="3800" w:leftChars="9" w:hanging="3780" w:hangingChars="1800"/>
      <w:rPr>
        <w:sz w:val="21"/>
        <w:szCs w:val="21"/>
      </w:rPr>
    </w:pPr>
  </w:p>
  <w:p>
    <w:pPr>
      <w:pStyle w:val="13"/>
      <w:pBdr>
        <w:bottom w:val="none" w:color="auto" w:sz="0" w:space="0"/>
      </w:pBdr>
      <w:spacing w:line="14" w:lineRule="auto"/>
      <w:rPr>
        <w:sz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spacing w:line="14" w:lineRule="auto"/>
      <w:rPr>
        <w:sz w:val="20"/>
      </w:rPr>
    </w:pPr>
    <w:r>
      <mc:AlternateContent>
        <mc:Choice Requires="wps">
          <w:drawing>
            <wp:anchor distT="0" distB="0" distL="114300" distR="114300" simplePos="0" relativeHeight="251663360" behindDoc="0" locked="0" layoutInCell="1" allowOverlap="1">
              <wp:simplePos x="0" y="0"/>
              <wp:positionH relativeFrom="page">
                <wp:posOffset>1025525</wp:posOffset>
              </wp:positionH>
              <wp:positionV relativeFrom="page">
                <wp:posOffset>737235</wp:posOffset>
              </wp:positionV>
              <wp:extent cx="5424805" cy="0"/>
              <wp:effectExtent l="0" t="0" r="0" b="0"/>
              <wp:wrapNone/>
              <wp:docPr id="96" name="直接连接符 96"/>
              <wp:cNvGraphicFramePr/>
              <a:graphic xmlns:a="http://schemas.openxmlformats.org/drawingml/2006/main">
                <a:graphicData uri="http://schemas.microsoft.com/office/word/2010/wordprocessingShape">
                  <wps:wsp>
                    <wps:cNvCnPr/>
                    <wps:spPr>
                      <a:xfrm>
                        <a:off x="0" y="0"/>
                        <a:ext cx="5424805" cy="0"/>
                      </a:xfrm>
                      <a:prstGeom prst="line">
                        <a:avLst/>
                      </a:prstGeom>
                      <a:ln w="6096"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80.75pt;margin-top:58.05pt;height:0pt;width:427.15pt;mso-position-horizontal-relative:page;mso-position-vertical-relative:page;z-index:251663360;mso-width-relative:page;mso-height-relative:page;" filled="f" stroked="t" coordsize="21600,21600" o:gfxdata="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KOtz8bWAAAADAEAAA8AAAAAAAAAAQAgAAAAIgAAAGRycy9kb3ducmV2LnhtbFBLAQIUABQA&#10;AAAIAIdO4kC1RHZk8gEAAOgDAAAOAAAAAAAAAAEAIAAAACUBAABkcnMvZTJvRG9jLnhtbFBLBQYA&#10;AAAABgAGAFkBAACJBQAAAAA=&#10;">
              <v:fill on="f" focussize="0,0"/>
              <v:stroke weight="0.48pt" color="#000000" joinstyle="round"/>
              <v:imagedata o:title=""/>
              <o:lock v:ext="edit" aspectratio="f"/>
            </v:line>
          </w:pict>
        </mc:Fallback>
      </mc:AlternateContent>
    </w:r>
    <w:r>
      <mc:AlternateContent>
        <mc:Choice Requires="wps">
          <w:drawing>
            <wp:anchor distT="0" distB="0" distL="114300" distR="114300" simplePos="0" relativeHeight="251664384" behindDoc="0" locked="0" layoutInCell="1" allowOverlap="1">
              <wp:simplePos x="0" y="0"/>
              <wp:positionH relativeFrom="page">
                <wp:posOffset>1031240</wp:posOffset>
              </wp:positionH>
              <wp:positionV relativeFrom="page">
                <wp:posOffset>543560</wp:posOffset>
              </wp:positionV>
              <wp:extent cx="2577465" cy="180975"/>
              <wp:effectExtent l="0" t="0" r="0" b="0"/>
              <wp:wrapNone/>
              <wp:docPr id="97" name="文本框 97"/>
              <wp:cNvGraphicFramePr/>
              <a:graphic xmlns:a="http://schemas.openxmlformats.org/drawingml/2006/main">
                <a:graphicData uri="http://schemas.microsoft.com/office/word/2010/wordprocessingShape">
                  <wps:wsp>
                    <wps:cNvSpPr txBox="1"/>
                    <wps:spPr>
                      <a:xfrm>
                        <a:off x="0" y="0"/>
                        <a:ext cx="2577465" cy="180975"/>
                      </a:xfrm>
                      <a:prstGeom prst="rect">
                        <a:avLst/>
                      </a:prstGeom>
                      <a:noFill/>
                      <a:ln w="9525">
                        <a:noFill/>
                      </a:ln>
                      <a:effectLst/>
                    </wps:spPr>
                    <wps:txbx>
                      <w:txbxContent>
                        <w:p>
                          <w:pPr>
                            <w:spacing w:line="279" w:lineRule="exact"/>
                            <w:ind w:left="20"/>
                            <w:rPr>
                              <w:rFonts w:ascii="黑体" w:eastAsia="黑体"/>
                            </w:rPr>
                          </w:pPr>
                          <w:r>
                            <w:rPr>
                              <w:rFonts w:hint="eastAsia" w:ascii="黑体" w:eastAsia="黑体"/>
                            </w:rPr>
                            <w:t>公路工程标准施工招标文件（</w:t>
                          </w:r>
                          <w:r>
                            <w:rPr>
                              <w:rFonts w:ascii="Times New Roman" w:eastAsia="Times New Roman"/>
                            </w:rPr>
                            <w:t>2018</w:t>
                          </w:r>
                          <w:r>
                            <w:rPr>
                              <w:rFonts w:hint="eastAsia" w:ascii="黑体" w:eastAsia="黑体"/>
                            </w:rPr>
                            <w:t>年版）</w:t>
                          </w:r>
                        </w:p>
                      </w:txbxContent>
                    </wps:txbx>
                    <wps:bodyPr lIns="0" tIns="0" rIns="0" bIns="0" upright="1"/>
                  </wps:wsp>
                </a:graphicData>
              </a:graphic>
            </wp:anchor>
          </w:drawing>
        </mc:Choice>
        <mc:Fallback>
          <w:pict>
            <v:shape id="_x0000_s1026" o:spid="_x0000_s1026" o:spt="202" type="#_x0000_t202" style="position:absolute;left:0pt;margin-left:81.2pt;margin-top:42.8pt;height:14.25pt;width:202.95pt;mso-position-horizontal-relative:page;mso-position-vertical-relative:page;z-index:251664384;mso-width-relative:page;mso-height-relative:page;" filled="f" stroked="f" coordsize="21600,21600" o:gfxdata="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sqLIi2AAAAAoBAAAPAAAAAAAAAAEAIAAAACIAAABkcnMv&#10;ZG93bnJldi54bWxQSwECFAAUAAAACACHTuJAuBvi9soBAACLAwAADgAAAAAAAAABACAAAAAnAQAA&#10;ZHJzL2Uyb0RvYy54bWxQSwUGAAAAAAYABgBZAQAAYwUAAAAA&#10;">
              <v:fill on="f" focussize="0,0"/>
              <v:stroke on="f"/>
              <v:imagedata o:title=""/>
              <o:lock v:ext="edit" aspectratio="f"/>
              <v:textbox inset="0mm,0mm,0mm,0mm">
                <w:txbxContent>
                  <w:p>
                    <w:pPr>
                      <w:spacing w:line="279" w:lineRule="exact"/>
                      <w:ind w:left="20"/>
                      <w:rPr>
                        <w:rFonts w:ascii="黑体" w:eastAsia="黑体"/>
                      </w:rPr>
                    </w:pPr>
                    <w:r>
                      <w:rPr>
                        <w:rFonts w:hint="eastAsia" w:ascii="黑体" w:eastAsia="黑体"/>
                      </w:rPr>
                      <w:t>公路工程标准施工招标文件（</w:t>
                    </w:r>
                    <w:r>
                      <w:rPr>
                        <w:rFonts w:ascii="Times New Roman" w:eastAsia="Times New Roman"/>
                      </w:rPr>
                      <w:t>2018</w:t>
                    </w:r>
                    <w:r>
                      <w:rPr>
                        <w:rFonts w:hint="eastAsia" w:ascii="黑体" w:eastAsia="黑体"/>
                      </w:rPr>
                      <w:t>年版）</w:t>
                    </w:r>
                  </w:p>
                </w:txbxContent>
              </v:textbox>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0"/>
      </w:pBdr>
      <w:spacing w:line="204" w:lineRule="auto"/>
      <w:rPr>
        <w:rFonts w:ascii="宋体" w:hAnsi="宋体" w:eastAsia="宋体" w:cs="宋体"/>
        <w:sz w:val="21"/>
        <w:szCs w:val="21"/>
        <w:u w:val="none"/>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04" w:lineRule="auto"/>
      <w:ind w:left="8"/>
      <w:rPr>
        <w:rFonts w:ascii="宋体" w:hAnsi="宋体" w:eastAsia="宋体" w:cs="宋体"/>
        <w:sz w:val="20"/>
        <w:szCs w:val="20"/>
        <w:u w:val="none"/>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04" w:lineRule="auto"/>
      <w:ind w:left="8"/>
      <w:rPr>
        <w:rFonts w:ascii="宋体" w:hAnsi="宋体" w:eastAsia="宋体" w:cs="宋体"/>
        <w:sz w:val="21"/>
        <w:szCs w:val="21"/>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289607"/>
    <w:multiLevelType w:val="singleLevel"/>
    <w:tmpl w:val="A3289607"/>
    <w:lvl w:ilvl="0" w:tentative="0">
      <w:start w:val="1"/>
      <w:numFmt w:val="chineseCounting"/>
      <w:lvlText w:val="第%1章"/>
      <w:lvlJc w:val="left"/>
      <w:rPr>
        <w:rFonts w:hint="eastAsia"/>
      </w:rPr>
    </w:lvl>
  </w:abstractNum>
  <w:abstractNum w:abstractNumId="1">
    <w:nsid w:val="E43A772E"/>
    <w:multiLevelType w:val="multilevel"/>
    <w:tmpl w:val="E43A772E"/>
    <w:lvl w:ilvl="0" w:tentative="0">
      <w:start w:val="1"/>
      <w:numFmt w:val="decimal"/>
      <w:lvlText w:val="%1."/>
      <w:lvlJc w:val="left"/>
      <w:pPr>
        <w:ind w:left="438" w:hanging="360"/>
      </w:pPr>
      <w:rPr>
        <w:rFonts w:hint="default" w:ascii="宋体" w:hAnsi="宋体" w:eastAsia="宋体" w:cs="宋体"/>
        <w:spacing w:val="-17"/>
        <w:w w:val="100"/>
        <w:sz w:val="24"/>
        <w:szCs w:val="24"/>
        <w:lang w:val="zh-CN" w:eastAsia="zh-CN" w:bidi="zh-CN"/>
      </w:rPr>
    </w:lvl>
    <w:lvl w:ilvl="1" w:tentative="0">
      <w:start w:val="0"/>
      <w:numFmt w:val="bullet"/>
      <w:lvlText w:val="•"/>
      <w:lvlJc w:val="left"/>
      <w:pPr>
        <w:ind w:left="1416" w:hanging="360"/>
      </w:pPr>
      <w:rPr>
        <w:rFonts w:hint="default"/>
        <w:lang w:val="zh-CN" w:eastAsia="zh-CN" w:bidi="zh-CN"/>
      </w:rPr>
    </w:lvl>
    <w:lvl w:ilvl="2" w:tentative="0">
      <w:start w:val="0"/>
      <w:numFmt w:val="bullet"/>
      <w:lvlText w:val="•"/>
      <w:lvlJc w:val="left"/>
      <w:pPr>
        <w:ind w:left="2392" w:hanging="360"/>
      </w:pPr>
      <w:rPr>
        <w:rFonts w:hint="default"/>
        <w:lang w:val="zh-CN" w:eastAsia="zh-CN" w:bidi="zh-CN"/>
      </w:rPr>
    </w:lvl>
    <w:lvl w:ilvl="3" w:tentative="0">
      <w:start w:val="0"/>
      <w:numFmt w:val="bullet"/>
      <w:lvlText w:val="•"/>
      <w:lvlJc w:val="left"/>
      <w:pPr>
        <w:ind w:left="3369" w:hanging="360"/>
      </w:pPr>
      <w:rPr>
        <w:rFonts w:hint="default"/>
        <w:lang w:val="zh-CN" w:eastAsia="zh-CN" w:bidi="zh-CN"/>
      </w:rPr>
    </w:lvl>
    <w:lvl w:ilvl="4" w:tentative="0">
      <w:start w:val="0"/>
      <w:numFmt w:val="bullet"/>
      <w:lvlText w:val="•"/>
      <w:lvlJc w:val="left"/>
      <w:pPr>
        <w:ind w:left="4345" w:hanging="360"/>
      </w:pPr>
      <w:rPr>
        <w:rFonts w:hint="default"/>
        <w:lang w:val="zh-CN" w:eastAsia="zh-CN" w:bidi="zh-CN"/>
      </w:rPr>
    </w:lvl>
    <w:lvl w:ilvl="5" w:tentative="0">
      <w:start w:val="0"/>
      <w:numFmt w:val="bullet"/>
      <w:lvlText w:val="•"/>
      <w:lvlJc w:val="left"/>
      <w:pPr>
        <w:ind w:left="5322" w:hanging="360"/>
      </w:pPr>
      <w:rPr>
        <w:rFonts w:hint="default"/>
        <w:lang w:val="zh-CN" w:eastAsia="zh-CN" w:bidi="zh-CN"/>
      </w:rPr>
    </w:lvl>
    <w:lvl w:ilvl="6" w:tentative="0">
      <w:start w:val="0"/>
      <w:numFmt w:val="bullet"/>
      <w:lvlText w:val="•"/>
      <w:lvlJc w:val="left"/>
      <w:pPr>
        <w:ind w:left="6298" w:hanging="360"/>
      </w:pPr>
      <w:rPr>
        <w:rFonts w:hint="default"/>
        <w:lang w:val="zh-CN" w:eastAsia="zh-CN" w:bidi="zh-CN"/>
      </w:rPr>
    </w:lvl>
    <w:lvl w:ilvl="7" w:tentative="0">
      <w:start w:val="0"/>
      <w:numFmt w:val="bullet"/>
      <w:lvlText w:val="•"/>
      <w:lvlJc w:val="left"/>
      <w:pPr>
        <w:ind w:left="7275" w:hanging="360"/>
      </w:pPr>
      <w:rPr>
        <w:rFonts w:hint="default"/>
        <w:lang w:val="zh-CN" w:eastAsia="zh-CN" w:bidi="zh-CN"/>
      </w:rPr>
    </w:lvl>
    <w:lvl w:ilvl="8" w:tentative="0">
      <w:start w:val="0"/>
      <w:numFmt w:val="bullet"/>
      <w:lvlText w:val="•"/>
      <w:lvlJc w:val="left"/>
      <w:pPr>
        <w:ind w:left="8251" w:hanging="360"/>
      </w:pPr>
      <w:rPr>
        <w:rFonts w:hint="default"/>
        <w:lang w:val="zh-CN" w:eastAsia="zh-CN" w:bidi="zh-CN"/>
      </w:rPr>
    </w:lvl>
  </w:abstractNum>
  <w:abstractNum w:abstractNumId="2">
    <w:nsid w:val="EACDB747"/>
    <w:multiLevelType w:val="singleLevel"/>
    <w:tmpl w:val="EACDB747"/>
    <w:lvl w:ilvl="0" w:tentative="0">
      <w:start w:val="5"/>
      <w:numFmt w:val="chineseCounting"/>
      <w:suff w:val="space"/>
      <w:lvlText w:val="第%1章"/>
      <w:lvlJc w:val="left"/>
      <w:rPr>
        <w:rFonts w:hint="eastAsia"/>
      </w:rPr>
    </w:lvl>
  </w:abstractNum>
  <w:abstractNum w:abstractNumId="3">
    <w:nsid w:val="00000003"/>
    <w:multiLevelType w:val="singleLevel"/>
    <w:tmpl w:val="00000003"/>
    <w:lvl w:ilvl="0" w:tentative="0">
      <w:start w:val="1"/>
      <w:numFmt w:val="chineseCounting"/>
      <w:suff w:val="nothing"/>
      <w:lvlText w:val="（%1）"/>
      <w:lvlJc w:val="left"/>
      <w:rPr>
        <w:rFonts w:hint="eastAsia"/>
      </w:rPr>
    </w:lvl>
  </w:abstractNum>
  <w:abstractNum w:abstractNumId="4">
    <w:nsid w:val="00000007"/>
    <w:multiLevelType w:val="singleLevel"/>
    <w:tmpl w:val="00000007"/>
    <w:lvl w:ilvl="0" w:tentative="0">
      <w:start w:val="2"/>
      <w:numFmt w:val="decimal"/>
      <w:suff w:val="nothing"/>
      <w:lvlText w:val="（%1）"/>
      <w:lvlJc w:val="left"/>
    </w:lvl>
  </w:abstractNum>
  <w:abstractNum w:abstractNumId="5">
    <w:nsid w:val="1008D68F"/>
    <w:multiLevelType w:val="singleLevel"/>
    <w:tmpl w:val="1008D68F"/>
    <w:lvl w:ilvl="0" w:tentative="0">
      <w:start w:val="3"/>
      <w:numFmt w:val="decimal"/>
      <w:suff w:val="nothing"/>
      <w:lvlText w:val="%1、"/>
      <w:lvlJc w:val="left"/>
    </w:lvl>
  </w:abstractNum>
  <w:abstractNum w:abstractNumId="6">
    <w:nsid w:val="4A373FAE"/>
    <w:multiLevelType w:val="singleLevel"/>
    <w:tmpl w:val="4A373FAE"/>
    <w:lvl w:ilvl="0" w:tentative="0">
      <w:start w:val="1"/>
      <w:numFmt w:val="decimal"/>
      <w:suff w:val="nothing"/>
      <w:lvlText w:val="%1、"/>
      <w:lvlJc w:val="left"/>
    </w:lvl>
  </w:abstractNum>
  <w:abstractNum w:abstractNumId="7">
    <w:nsid w:val="612315D4"/>
    <w:multiLevelType w:val="singleLevel"/>
    <w:tmpl w:val="612315D4"/>
    <w:lvl w:ilvl="0" w:tentative="0">
      <w:start w:val="4"/>
      <w:numFmt w:val="chineseCounting"/>
      <w:suff w:val="space"/>
      <w:lvlText w:val="(%1)"/>
      <w:lvlJc w:val="left"/>
      <w:rPr>
        <w:rFonts w:hint="eastAsia"/>
      </w:rPr>
    </w:lvl>
  </w:abstractNum>
  <w:num w:numId="1">
    <w:abstractNumId w:val="0"/>
  </w:num>
  <w:num w:numId="2">
    <w:abstractNumId w:val="5"/>
  </w:num>
  <w:num w:numId="3">
    <w:abstractNumId w:val="6"/>
  </w:num>
  <w:num w:numId="4">
    <w:abstractNumId w:val="4"/>
  </w:num>
  <w:num w:numId="5">
    <w:abstractNumId w:val="3"/>
  </w:num>
  <w:num w:numId="6">
    <w:abstractNumId w:val="2"/>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U5YmY1YTc1YjUxMTMwNDJiNDg3NTdhODM5YTY5ZTMifQ=="/>
    <w:docVar w:name="KSO_WPS_MARK_KEY" w:val="c752a109-e1b3-4efe-b88d-748a4f97680d"/>
  </w:docVars>
  <w:rsids>
    <w:rsidRoot w:val="004F77D2"/>
    <w:rsid w:val="00063252"/>
    <w:rsid w:val="000875F5"/>
    <w:rsid w:val="001677A0"/>
    <w:rsid w:val="001F5718"/>
    <w:rsid w:val="00236499"/>
    <w:rsid w:val="00390CC5"/>
    <w:rsid w:val="004F77D2"/>
    <w:rsid w:val="00587ECA"/>
    <w:rsid w:val="0065259D"/>
    <w:rsid w:val="00676D1D"/>
    <w:rsid w:val="00715758"/>
    <w:rsid w:val="00861CB4"/>
    <w:rsid w:val="00A023AC"/>
    <w:rsid w:val="00A10EEE"/>
    <w:rsid w:val="00A30036"/>
    <w:rsid w:val="00A36C7F"/>
    <w:rsid w:val="00B8063C"/>
    <w:rsid w:val="00BE0A6B"/>
    <w:rsid w:val="00C07C89"/>
    <w:rsid w:val="00C14B91"/>
    <w:rsid w:val="00CB116D"/>
    <w:rsid w:val="00D728E6"/>
    <w:rsid w:val="00EC7790"/>
    <w:rsid w:val="00F43408"/>
    <w:rsid w:val="00F43ABD"/>
    <w:rsid w:val="00F75C78"/>
    <w:rsid w:val="00FE1F5D"/>
    <w:rsid w:val="00FE6AA1"/>
    <w:rsid w:val="01287AB4"/>
    <w:rsid w:val="01457C67"/>
    <w:rsid w:val="014626C0"/>
    <w:rsid w:val="01586858"/>
    <w:rsid w:val="01E34B58"/>
    <w:rsid w:val="021D5CFF"/>
    <w:rsid w:val="022B0E5C"/>
    <w:rsid w:val="02346795"/>
    <w:rsid w:val="027408D5"/>
    <w:rsid w:val="02C138E3"/>
    <w:rsid w:val="02D31CA3"/>
    <w:rsid w:val="02F316EF"/>
    <w:rsid w:val="038122A3"/>
    <w:rsid w:val="03833784"/>
    <w:rsid w:val="04357D70"/>
    <w:rsid w:val="04AD5405"/>
    <w:rsid w:val="04D831DF"/>
    <w:rsid w:val="04E92B49"/>
    <w:rsid w:val="050A69A3"/>
    <w:rsid w:val="056A0DE6"/>
    <w:rsid w:val="0619721E"/>
    <w:rsid w:val="065D4575"/>
    <w:rsid w:val="06732D66"/>
    <w:rsid w:val="07761422"/>
    <w:rsid w:val="080152E9"/>
    <w:rsid w:val="08511DEB"/>
    <w:rsid w:val="089112ED"/>
    <w:rsid w:val="089B6FC5"/>
    <w:rsid w:val="08B76626"/>
    <w:rsid w:val="08D315E7"/>
    <w:rsid w:val="09273A00"/>
    <w:rsid w:val="0938070A"/>
    <w:rsid w:val="09AB50EA"/>
    <w:rsid w:val="0A673257"/>
    <w:rsid w:val="0A677D02"/>
    <w:rsid w:val="0A8455AD"/>
    <w:rsid w:val="0AA47CF0"/>
    <w:rsid w:val="0AB75417"/>
    <w:rsid w:val="0B3817A0"/>
    <w:rsid w:val="0B887EA3"/>
    <w:rsid w:val="0B940D87"/>
    <w:rsid w:val="0C0D1972"/>
    <w:rsid w:val="0C38455A"/>
    <w:rsid w:val="0C8C63AB"/>
    <w:rsid w:val="0CD9020F"/>
    <w:rsid w:val="0CF7072A"/>
    <w:rsid w:val="0E1A3B33"/>
    <w:rsid w:val="0E625C98"/>
    <w:rsid w:val="0EE17B83"/>
    <w:rsid w:val="0F65613A"/>
    <w:rsid w:val="0FAB78D4"/>
    <w:rsid w:val="10252FC2"/>
    <w:rsid w:val="10854930"/>
    <w:rsid w:val="10CA74B6"/>
    <w:rsid w:val="10F663E3"/>
    <w:rsid w:val="110B6966"/>
    <w:rsid w:val="1125116C"/>
    <w:rsid w:val="114C78AE"/>
    <w:rsid w:val="12085ECE"/>
    <w:rsid w:val="125D7A6B"/>
    <w:rsid w:val="127F1017"/>
    <w:rsid w:val="13272F7A"/>
    <w:rsid w:val="13B20A57"/>
    <w:rsid w:val="142724B1"/>
    <w:rsid w:val="149072D9"/>
    <w:rsid w:val="14931638"/>
    <w:rsid w:val="14B51ED7"/>
    <w:rsid w:val="150115A9"/>
    <w:rsid w:val="150B58A6"/>
    <w:rsid w:val="150C11A9"/>
    <w:rsid w:val="15574FE7"/>
    <w:rsid w:val="158B08C0"/>
    <w:rsid w:val="15DF7B3C"/>
    <w:rsid w:val="15F8484E"/>
    <w:rsid w:val="1629590E"/>
    <w:rsid w:val="164E14B1"/>
    <w:rsid w:val="16700B45"/>
    <w:rsid w:val="16CF13A1"/>
    <w:rsid w:val="16EE4D1C"/>
    <w:rsid w:val="16F24910"/>
    <w:rsid w:val="16F861B3"/>
    <w:rsid w:val="171E28E6"/>
    <w:rsid w:val="17471080"/>
    <w:rsid w:val="18184AAA"/>
    <w:rsid w:val="18890705"/>
    <w:rsid w:val="18B77C2D"/>
    <w:rsid w:val="18CF3EEA"/>
    <w:rsid w:val="18DD2856"/>
    <w:rsid w:val="18F822B6"/>
    <w:rsid w:val="18FB617E"/>
    <w:rsid w:val="19297822"/>
    <w:rsid w:val="19974066"/>
    <w:rsid w:val="1A1E7423"/>
    <w:rsid w:val="1A337032"/>
    <w:rsid w:val="1A4255D6"/>
    <w:rsid w:val="1A641D09"/>
    <w:rsid w:val="1A82318C"/>
    <w:rsid w:val="1B041DF3"/>
    <w:rsid w:val="1B1B2061"/>
    <w:rsid w:val="1B235571"/>
    <w:rsid w:val="1B4C7B10"/>
    <w:rsid w:val="1B8B6070"/>
    <w:rsid w:val="1C2C01A7"/>
    <w:rsid w:val="1C3A6809"/>
    <w:rsid w:val="1C4F1829"/>
    <w:rsid w:val="1CE7059D"/>
    <w:rsid w:val="1D7835BF"/>
    <w:rsid w:val="1DEF1090"/>
    <w:rsid w:val="1E2850E8"/>
    <w:rsid w:val="1E944404"/>
    <w:rsid w:val="1EA01F3B"/>
    <w:rsid w:val="1EDF3128"/>
    <w:rsid w:val="1F766F12"/>
    <w:rsid w:val="2011123A"/>
    <w:rsid w:val="20526D57"/>
    <w:rsid w:val="20753A2A"/>
    <w:rsid w:val="207B01BF"/>
    <w:rsid w:val="20BB4552"/>
    <w:rsid w:val="20D118CF"/>
    <w:rsid w:val="21314CD2"/>
    <w:rsid w:val="215060CA"/>
    <w:rsid w:val="215B72BA"/>
    <w:rsid w:val="216240BB"/>
    <w:rsid w:val="218235A3"/>
    <w:rsid w:val="220B7B24"/>
    <w:rsid w:val="221473DD"/>
    <w:rsid w:val="222133BE"/>
    <w:rsid w:val="22D90CEC"/>
    <w:rsid w:val="22DF0B09"/>
    <w:rsid w:val="235D63A3"/>
    <w:rsid w:val="239B7FBE"/>
    <w:rsid w:val="23BF46B3"/>
    <w:rsid w:val="243E2006"/>
    <w:rsid w:val="24BE1F7F"/>
    <w:rsid w:val="24C46F4B"/>
    <w:rsid w:val="24CE5E0B"/>
    <w:rsid w:val="258B78DE"/>
    <w:rsid w:val="25A75565"/>
    <w:rsid w:val="25B83F05"/>
    <w:rsid w:val="270E7F5A"/>
    <w:rsid w:val="270F0FD2"/>
    <w:rsid w:val="27232014"/>
    <w:rsid w:val="278936AD"/>
    <w:rsid w:val="27A87F81"/>
    <w:rsid w:val="27C967C7"/>
    <w:rsid w:val="27D00900"/>
    <w:rsid w:val="27FD584B"/>
    <w:rsid w:val="28B64B83"/>
    <w:rsid w:val="28E01207"/>
    <w:rsid w:val="291624C7"/>
    <w:rsid w:val="292075B1"/>
    <w:rsid w:val="294D4A3C"/>
    <w:rsid w:val="29C70BBB"/>
    <w:rsid w:val="2A3D0FE4"/>
    <w:rsid w:val="2A8E3487"/>
    <w:rsid w:val="2A953EC7"/>
    <w:rsid w:val="2B08148B"/>
    <w:rsid w:val="2B3B360F"/>
    <w:rsid w:val="2B745E9E"/>
    <w:rsid w:val="2B9471AE"/>
    <w:rsid w:val="2C386295"/>
    <w:rsid w:val="2C550700"/>
    <w:rsid w:val="2C663392"/>
    <w:rsid w:val="2CB1301A"/>
    <w:rsid w:val="2CC40D92"/>
    <w:rsid w:val="2CE1093D"/>
    <w:rsid w:val="2D470365"/>
    <w:rsid w:val="2E494B1D"/>
    <w:rsid w:val="2E4F596D"/>
    <w:rsid w:val="2E712C0C"/>
    <w:rsid w:val="2ED8266D"/>
    <w:rsid w:val="2F090862"/>
    <w:rsid w:val="2F2E5BBA"/>
    <w:rsid w:val="2FC844C8"/>
    <w:rsid w:val="2FEA3302"/>
    <w:rsid w:val="2FFB2582"/>
    <w:rsid w:val="30090C54"/>
    <w:rsid w:val="30192A83"/>
    <w:rsid w:val="302465AF"/>
    <w:rsid w:val="3037780B"/>
    <w:rsid w:val="303C12BD"/>
    <w:rsid w:val="304D18D8"/>
    <w:rsid w:val="30574516"/>
    <w:rsid w:val="307C6FAB"/>
    <w:rsid w:val="312A7A17"/>
    <w:rsid w:val="31C51DF6"/>
    <w:rsid w:val="31D004F5"/>
    <w:rsid w:val="31D366A1"/>
    <w:rsid w:val="32755658"/>
    <w:rsid w:val="328D0330"/>
    <w:rsid w:val="3291620A"/>
    <w:rsid w:val="32DB3534"/>
    <w:rsid w:val="33167AED"/>
    <w:rsid w:val="33292AF7"/>
    <w:rsid w:val="33A91FE2"/>
    <w:rsid w:val="340855B8"/>
    <w:rsid w:val="34753E73"/>
    <w:rsid w:val="34945B3E"/>
    <w:rsid w:val="34BB42EE"/>
    <w:rsid w:val="352168B3"/>
    <w:rsid w:val="35624D93"/>
    <w:rsid w:val="357165DC"/>
    <w:rsid w:val="358C1039"/>
    <w:rsid w:val="35D02BA5"/>
    <w:rsid w:val="35E30B2B"/>
    <w:rsid w:val="363B137E"/>
    <w:rsid w:val="36953B73"/>
    <w:rsid w:val="36C62E1B"/>
    <w:rsid w:val="36E73ED5"/>
    <w:rsid w:val="36F206C5"/>
    <w:rsid w:val="36F570EA"/>
    <w:rsid w:val="36F62A5C"/>
    <w:rsid w:val="36FE6F76"/>
    <w:rsid w:val="370D3F13"/>
    <w:rsid w:val="37184694"/>
    <w:rsid w:val="37B74C84"/>
    <w:rsid w:val="37FD6230"/>
    <w:rsid w:val="381D7844"/>
    <w:rsid w:val="384573A6"/>
    <w:rsid w:val="3877104C"/>
    <w:rsid w:val="391B256C"/>
    <w:rsid w:val="391C5552"/>
    <w:rsid w:val="397141C5"/>
    <w:rsid w:val="3A2742E7"/>
    <w:rsid w:val="3A555D6F"/>
    <w:rsid w:val="3A5F2ED7"/>
    <w:rsid w:val="3A8A41BC"/>
    <w:rsid w:val="3AC305FB"/>
    <w:rsid w:val="3AD93CF7"/>
    <w:rsid w:val="3B07298B"/>
    <w:rsid w:val="3B497113"/>
    <w:rsid w:val="3B4A48D3"/>
    <w:rsid w:val="3B78000C"/>
    <w:rsid w:val="3BA1126C"/>
    <w:rsid w:val="3C2C54A6"/>
    <w:rsid w:val="3CFB49AA"/>
    <w:rsid w:val="3D516CC2"/>
    <w:rsid w:val="3D5D45AD"/>
    <w:rsid w:val="3D660B70"/>
    <w:rsid w:val="3D69490E"/>
    <w:rsid w:val="3D960BA4"/>
    <w:rsid w:val="3E3A1DB6"/>
    <w:rsid w:val="3E442709"/>
    <w:rsid w:val="3E7A280E"/>
    <w:rsid w:val="3E8E6174"/>
    <w:rsid w:val="3EEC254D"/>
    <w:rsid w:val="3F3A1F38"/>
    <w:rsid w:val="3F441B36"/>
    <w:rsid w:val="3F5538A2"/>
    <w:rsid w:val="3F7A752F"/>
    <w:rsid w:val="3F915FFF"/>
    <w:rsid w:val="3FD57A53"/>
    <w:rsid w:val="401F3A11"/>
    <w:rsid w:val="404B37CA"/>
    <w:rsid w:val="40C632C5"/>
    <w:rsid w:val="40D35FB5"/>
    <w:rsid w:val="40ED0AAF"/>
    <w:rsid w:val="40EE32B9"/>
    <w:rsid w:val="40EF4858"/>
    <w:rsid w:val="40F51788"/>
    <w:rsid w:val="41016E2A"/>
    <w:rsid w:val="410F4ECA"/>
    <w:rsid w:val="411549D9"/>
    <w:rsid w:val="413A5C05"/>
    <w:rsid w:val="41650F8E"/>
    <w:rsid w:val="417F7DF8"/>
    <w:rsid w:val="41CF0DE7"/>
    <w:rsid w:val="41DA554B"/>
    <w:rsid w:val="42443959"/>
    <w:rsid w:val="424B5C7C"/>
    <w:rsid w:val="42B43A45"/>
    <w:rsid w:val="42E4429C"/>
    <w:rsid w:val="43116916"/>
    <w:rsid w:val="431738BB"/>
    <w:rsid w:val="4344691A"/>
    <w:rsid w:val="439B2A45"/>
    <w:rsid w:val="43A92C12"/>
    <w:rsid w:val="43BE56FA"/>
    <w:rsid w:val="43D34C48"/>
    <w:rsid w:val="43F22CD4"/>
    <w:rsid w:val="44760DBC"/>
    <w:rsid w:val="448D0D0E"/>
    <w:rsid w:val="44C63DC9"/>
    <w:rsid w:val="44C94D8F"/>
    <w:rsid w:val="44EC0EA2"/>
    <w:rsid w:val="458115B6"/>
    <w:rsid w:val="45D40258"/>
    <w:rsid w:val="4603181D"/>
    <w:rsid w:val="46255CB9"/>
    <w:rsid w:val="462E6392"/>
    <w:rsid w:val="46767799"/>
    <w:rsid w:val="4772747C"/>
    <w:rsid w:val="47CD17A9"/>
    <w:rsid w:val="48651873"/>
    <w:rsid w:val="488B1F6C"/>
    <w:rsid w:val="48DF1187"/>
    <w:rsid w:val="494F6F5B"/>
    <w:rsid w:val="49597E0E"/>
    <w:rsid w:val="495C4CF8"/>
    <w:rsid w:val="496B4C67"/>
    <w:rsid w:val="49AB01F8"/>
    <w:rsid w:val="49B94D47"/>
    <w:rsid w:val="4A0A4905"/>
    <w:rsid w:val="4A6B3AEF"/>
    <w:rsid w:val="4A78177A"/>
    <w:rsid w:val="4AB93FF1"/>
    <w:rsid w:val="4AE3447F"/>
    <w:rsid w:val="4AE9692A"/>
    <w:rsid w:val="4B133808"/>
    <w:rsid w:val="4B700384"/>
    <w:rsid w:val="4B8A5313"/>
    <w:rsid w:val="4B9B5E95"/>
    <w:rsid w:val="4C465518"/>
    <w:rsid w:val="4C740D6F"/>
    <w:rsid w:val="4C765DFD"/>
    <w:rsid w:val="4C924197"/>
    <w:rsid w:val="4CAC1535"/>
    <w:rsid w:val="4CC21042"/>
    <w:rsid w:val="4CF73D28"/>
    <w:rsid w:val="4D261EF3"/>
    <w:rsid w:val="4D6B17B4"/>
    <w:rsid w:val="4D7F6E8B"/>
    <w:rsid w:val="4DAD5240"/>
    <w:rsid w:val="4E2A3A7F"/>
    <w:rsid w:val="4E5D3FEE"/>
    <w:rsid w:val="4E720529"/>
    <w:rsid w:val="4E884B06"/>
    <w:rsid w:val="4EA24531"/>
    <w:rsid w:val="4EB215AD"/>
    <w:rsid w:val="4EC029FA"/>
    <w:rsid w:val="4EE24361"/>
    <w:rsid w:val="4F015300"/>
    <w:rsid w:val="500C56EB"/>
    <w:rsid w:val="501A3446"/>
    <w:rsid w:val="50DE081B"/>
    <w:rsid w:val="5160210F"/>
    <w:rsid w:val="51D75590"/>
    <w:rsid w:val="51F31067"/>
    <w:rsid w:val="523A7479"/>
    <w:rsid w:val="52421AAA"/>
    <w:rsid w:val="52491E15"/>
    <w:rsid w:val="525E180D"/>
    <w:rsid w:val="52E76D06"/>
    <w:rsid w:val="531D1B5E"/>
    <w:rsid w:val="53927BD7"/>
    <w:rsid w:val="5423338C"/>
    <w:rsid w:val="54555434"/>
    <w:rsid w:val="5456203B"/>
    <w:rsid w:val="546C1E0E"/>
    <w:rsid w:val="547C41CC"/>
    <w:rsid w:val="549A4580"/>
    <w:rsid w:val="54A379AB"/>
    <w:rsid w:val="54C02E72"/>
    <w:rsid w:val="54E106C5"/>
    <w:rsid w:val="554C5D75"/>
    <w:rsid w:val="55B04040"/>
    <w:rsid w:val="55BF410B"/>
    <w:rsid w:val="563665FD"/>
    <w:rsid w:val="56684EAA"/>
    <w:rsid w:val="566E551E"/>
    <w:rsid w:val="567B2EA1"/>
    <w:rsid w:val="568D2C46"/>
    <w:rsid w:val="56B91708"/>
    <w:rsid w:val="56C16BEB"/>
    <w:rsid w:val="56F153BB"/>
    <w:rsid w:val="57057DD1"/>
    <w:rsid w:val="571F18F4"/>
    <w:rsid w:val="573E431D"/>
    <w:rsid w:val="57AD14EB"/>
    <w:rsid w:val="57B43412"/>
    <w:rsid w:val="57F65922"/>
    <w:rsid w:val="58935F89"/>
    <w:rsid w:val="58A56F7A"/>
    <w:rsid w:val="593C1949"/>
    <w:rsid w:val="59430DF1"/>
    <w:rsid w:val="599E6216"/>
    <w:rsid w:val="59B32D18"/>
    <w:rsid w:val="59F20A8D"/>
    <w:rsid w:val="5A5403BA"/>
    <w:rsid w:val="5B2C37D5"/>
    <w:rsid w:val="5B4B48F9"/>
    <w:rsid w:val="5B6414DE"/>
    <w:rsid w:val="5C5B0B6B"/>
    <w:rsid w:val="5C674DC6"/>
    <w:rsid w:val="5C9D45F2"/>
    <w:rsid w:val="5CCD538B"/>
    <w:rsid w:val="5D2674B7"/>
    <w:rsid w:val="5E4C10B3"/>
    <w:rsid w:val="5E5204A2"/>
    <w:rsid w:val="5EE06A8F"/>
    <w:rsid w:val="5F513D03"/>
    <w:rsid w:val="600D5D1F"/>
    <w:rsid w:val="60A372B8"/>
    <w:rsid w:val="61994610"/>
    <w:rsid w:val="61BB68F3"/>
    <w:rsid w:val="6230509D"/>
    <w:rsid w:val="628964F1"/>
    <w:rsid w:val="62E6508A"/>
    <w:rsid w:val="63205983"/>
    <w:rsid w:val="637A7DBF"/>
    <w:rsid w:val="63BE6286"/>
    <w:rsid w:val="64322AC2"/>
    <w:rsid w:val="643C1282"/>
    <w:rsid w:val="64CC56F2"/>
    <w:rsid w:val="65363F24"/>
    <w:rsid w:val="653C6933"/>
    <w:rsid w:val="654900FB"/>
    <w:rsid w:val="65B41E30"/>
    <w:rsid w:val="65CE0600"/>
    <w:rsid w:val="66162FA9"/>
    <w:rsid w:val="665D2AE7"/>
    <w:rsid w:val="668B7F72"/>
    <w:rsid w:val="66AE24A0"/>
    <w:rsid w:val="66DE7ADB"/>
    <w:rsid w:val="66FD059E"/>
    <w:rsid w:val="67716808"/>
    <w:rsid w:val="67723B53"/>
    <w:rsid w:val="6827777A"/>
    <w:rsid w:val="682B7F8C"/>
    <w:rsid w:val="685B05F6"/>
    <w:rsid w:val="68725BBA"/>
    <w:rsid w:val="68815DFE"/>
    <w:rsid w:val="693A7166"/>
    <w:rsid w:val="6A0F61A0"/>
    <w:rsid w:val="6AFB5BA3"/>
    <w:rsid w:val="6B13750E"/>
    <w:rsid w:val="6B18254C"/>
    <w:rsid w:val="6B693CAE"/>
    <w:rsid w:val="6B6C00F0"/>
    <w:rsid w:val="6BC21F7D"/>
    <w:rsid w:val="6C6E29B3"/>
    <w:rsid w:val="6CD91A93"/>
    <w:rsid w:val="6DC75EB6"/>
    <w:rsid w:val="6E106A6E"/>
    <w:rsid w:val="6E2D1D22"/>
    <w:rsid w:val="6E5E7ACC"/>
    <w:rsid w:val="6EAF0E45"/>
    <w:rsid w:val="6EB34F2F"/>
    <w:rsid w:val="6EBA503C"/>
    <w:rsid w:val="6F5C3E2B"/>
    <w:rsid w:val="6F6D7295"/>
    <w:rsid w:val="6F8B377B"/>
    <w:rsid w:val="6F9640DB"/>
    <w:rsid w:val="6FC50568"/>
    <w:rsid w:val="704B53B1"/>
    <w:rsid w:val="71227B50"/>
    <w:rsid w:val="71395808"/>
    <w:rsid w:val="716C2815"/>
    <w:rsid w:val="716C3501"/>
    <w:rsid w:val="71AA20DB"/>
    <w:rsid w:val="722872EA"/>
    <w:rsid w:val="728172B7"/>
    <w:rsid w:val="72B17836"/>
    <w:rsid w:val="73483158"/>
    <w:rsid w:val="73627D11"/>
    <w:rsid w:val="737A52EC"/>
    <w:rsid w:val="738006CB"/>
    <w:rsid w:val="73A147F4"/>
    <w:rsid w:val="73AB1B34"/>
    <w:rsid w:val="73C91A89"/>
    <w:rsid w:val="7429617B"/>
    <w:rsid w:val="74493C73"/>
    <w:rsid w:val="7487789E"/>
    <w:rsid w:val="74B90A1E"/>
    <w:rsid w:val="74D97846"/>
    <w:rsid w:val="75024864"/>
    <w:rsid w:val="751079A7"/>
    <w:rsid w:val="758A5CF7"/>
    <w:rsid w:val="7593635D"/>
    <w:rsid w:val="75A87639"/>
    <w:rsid w:val="75B95562"/>
    <w:rsid w:val="760329C2"/>
    <w:rsid w:val="761B2FB6"/>
    <w:rsid w:val="76DD6E8C"/>
    <w:rsid w:val="77003D79"/>
    <w:rsid w:val="7706242A"/>
    <w:rsid w:val="77A92D9A"/>
    <w:rsid w:val="77C32282"/>
    <w:rsid w:val="78715547"/>
    <w:rsid w:val="79020895"/>
    <w:rsid w:val="791F1903"/>
    <w:rsid w:val="794F7129"/>
    <w:rsid w:val="799E5643"/>
    <w:rsid w:val="79A5224B"/>
    <w:rsid w:val="79FA674E"/>
    <w:rsid w:val="7A062955"/>
    <w:rsid w:val="7A5B4148"/>
    <w:rsid w:val="7B046460"/>
    <w:rsid w:val="7B064773"/>
    <w:rsid w:val="7B2D09CE"/>
    <w:rsid w:val="7B7B622C"/>
    <w:rsid w:val="7B9C3F87"/>
    <w:rsid w:val="7BF01B51"/>
    <w:rsid w:val="7BF6585A"/>
    <w:rsid w:val="7C827E89"/>
    <w:rsid w:val="7C8E42AC"/>
    <w:rsid w:val="7D1705D7"/>
    <w:rsid w:val="7D423F2C"/>
    <w:rsid w:val="7DB61513"/>
    <w:rsid w:val="7E836A20"/>
    <w:rsid w:val="7EC03E04"/>
    <w:rsid w:val="7ED4404B"/>
    <w:rsid w:val="7EF653CF"/>
    <w:rsid w:val="7F1C5A48"/>
    <w:rsid w:val="7FE206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nhideWhenUsed="0" w:uiPriority="1" w:semiHidden="0" w:name="heading 6"/>
    <w:lsdException w:qFormat="1" w:unhideWhenUsed="0" w:uiPriority="1" w:semiHidden="0" w:name="heading 7"/>
    <w:lsdException w:qFormat="1" w:unhideWhenUsed="0" w:uiPriority="1" w:semiHidden="0" w:name="heading 8"/>
    <w:lsdException w:qFormat="1" w:unhideWhenUsed="0" w:uiPriority="1"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qFormat="1" w:unhideWhenUsed="0" w:uiPriority="1" w:semiHidden="0" w:name="toc 3"/>
    <w:lsdException w:qFormat="1" w:unhideWhenUsed="0" w:uiPriority="1"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1"/>
    <w:pPr>
      <w:widowControl w:val="0"/>
      <w:autoSpaceDE w:val="0"/>
      <w:autoSpaceDN w:val="0"/>
    </w:pPr>
    <w:rPr>
      <w:rFonts w:ascii="宋体" w:hAnsi="宋体" w:eastAsia="宋体" w:cs="宋体"/>
      <w:sz w:val="22"/>
      <w:szCs w:val="22"/>
      <w:lang w:val="zh-CN" w:eastAsia="zh-CN" w:bidi="zh-CN"/>
    </w:rPr>
  </w:style>
  <w:style w:type="paragraph" w:styleId="3">
    <w:name w:val="heading 1"/>
    <w:basedOn w:val="1"/>
    <w:next w:val="1"/>
    <w:qFormat/>
    <w:uiPriority w:val="1"/>
    <w:pPr>
      <w:spacing w:before="22"/>
      <w:ind w:left="1049"/>
      <w:outlineLvl w:val="0"/>
    </w:pPr>
    <w:rPr>
      <w:sz w:val="56"/>
      <w:szCs w:val="56"/>
    </w:rPr>
  </w:style>
  <w:style w:type="paragraph" w:styleId="4">
    <w:name w:val="heading 2"/>
    <w:basedOn w:val="1"/>
    <w:next w:val="1"/>
    <w:qFormat/>
    <w:uiPriority w:val="1"/>
    <w:pPr>
      <w:spacing w:before="38"/>
      <w:ind w:left="2079" w:right="720"/>
      <w:jc w:val="center"/>
      <w:outlineLvl w:val="1"/>
    </w:pPr>
    <w:rPr>
      <w:sz w:val="44"/>
      <w:szCs w:val="44"/>
      <w:u w:val="single" w:color="000000"/>
    </w:rPr>
  </w:style>
  <w:style w:type="paragraph" w:styleId="5">
    <w:name w:val="heading 3"/>
    <w:basedOn w:val="1"/>
    <w:next w:val="1"/>
    <w:link w:val="39"/>
    <w:qFormat/>
    <w:uiPriority w:val="1"/>
    <w:pPr>
      <w:spacing w:before="54"/>
      <w:jc w:val="center"/>
      <w:outlineLvl w:val="2"/>
    </w:pPr>
    <w:rPr>
      <w:sz w:val="32"/>
      <w:szCs w:val="32"/>
    </w:rPr>
  </w:style>
  <w:style w:type="paragraph" w:styleId="6">
    <w:name w:val="heading 4"/>
    <w:basedOn w:val="1"/>
    <w:next w:val="1"/>
    <w:qFormat/>
    <w:uiPriority w:val="1"/>
    <w:pPr>
      <w:spacing w:before="214"/>
      <w:jc w:val="center"/>
      <w:outlineLvl w:val="3"/>
    </w:pPr>
    <w:rPr>
      <w:sz w:val="32"/>
      <w:szCs w:val="32"/>
    </w:rPr>
  </w:style>
  <w:style w:type="paragraph" w:styleId="7">
    <w:name w:val="heading 5"/>
    <w:basedOn w:val="1"/>
    <w:next w:val="1"/>
    <w:qFormat/>
    <w:uiPriority w:val="1"/>
    <w:pPr>
      <w:outlineLvl w:val="4"/>
    </w:pPr>
    <w:rPr>
      <w:sz w:val="30"/>
      <w:szCs w:val="30"/>
    </w:rPr>
  </w:style>
  <w:style w:type="paragraph" w:styleId="8">
    <w:name w:val="heading 6"/>
    <w:basedOn w:val="1"/>
    <w:next w:val="1"/>
    <w:link w:val="34"/>
    <w:qFormat/>
    <w:uiPriority w:val="1"/>
    <w:pPr>
      <w:ind w:left="506" w:hanging="284"/>
      <w:outlineLvl w:val="5"/>
    </w:pPr>
    <w:rPr>
      <w:b/>
      <w:bCs/>
      <w:sz w:val="28"/>
      <w:szCs w:val="28"/>
    </w:rPr>
  </w:style>
  <w:style w:type="paragraph" w:styleId="9">
    <w:name w:val="heading 7"/>
    <w:basedOn w:val="1"/>
    <w:next w:val="1"/>
    <w:qFormat/>
    <w:uiPriority w:val="1"/>
    <w:pPr>
      <w:spacing w:before="60"/>
      <w:ind w:left="2079"/>
      <w:outlineLvl w:val="6"/>
    </w:pPr>
    <w:rPr>
      <w:sz w:val="28"/>
      <w:szCs w:val="28"/>
    </w:rPr>
  </w:style>
  <w:style w:type="paragraph" w:styleId="10">
    <w:name w:val="heading 8"/>
    <w:basedOn w:val="1"/>
    <w:next w:val="1"/>
    <w:qFormat/>
    <w:uiPriority w:val="1"/>
    <w:pPr>
      <w:ind w:left="438"/>
      <w:outlineLvl w:val="7"/>
    </w:pPr>
    <w:rPr>
      <w:sz w:val="24"/>
      <w:szCs w:val="24"/>
    </w:rPr>
  </w:style>
  <w:style w:type="paragraph" w:styleId="11">
    <w:name w:val="heading 9"/>
    <w:basedOn w:val="1"/>
    <w:next w:val="1"/>
    <w:qFormat/>
    <w:uiPriority w:val="1"/>
    <w:pPr>
      <w:spacing w:before="70"/>
      <w:ind w:left="689" w:hanging="746"/>
      <w:outlineLvl w:val="8"/>
    </w:pPr>
    <w:rPr>
      <w:b/>
      <w:bCs/>
      <w:sz w:val="21"/>
      <w:szCs w:val="21"/>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snapToGrid w:val="0"/>
      <w:ind w:firstLine="420" w:firstLineChars="200"/>
    </w:pPr>
    <w:rPr>
      <w:rFonts w:ascii="Times New Roman" w:hAnsi="宋体" w:eastAsia="宋体" w:cs="Times New Roman"/>
      <w:szCs w:val="20"/>
    </w:rPr>
  </w:style>
  <w:style w:type="paragraph" w:styleId="12">
    <w:name w:val="annotation text"/>
    <w:basedOn w:val="1"/>
    <w:qFormat/>
    <w:uiPriority w:val="0"/>
    <w:pPr>
      <w:jc w:val="left"/>
    </w:pPr>
  </w:style>
  <w:style w:type="paragraph" w:styleId="13">
    <w:name w:val="Body Text"/>
    <w:basedOn w:val="1"/>
    <w:next w:val="14"/>
    <w:qFormat/>
    <w:uiPriority w:val="1"/>
    <w:rPr>
      <w:sz w:val="21"/>
      <w:szCs w:val="21"/>
    </w:rPr>
  </w:style>
  <w:style w:type="paragraph" w:styleId="14">
    <w:name w:val="Body Text 2"/>
    <w:basedOn w:val="1"/>
    <w:next w:val="13"/>
    <w:qFormat/>
    <w:uiPriority w:val="0"/>
    <w:pPr>
      <w:spacing w:line="500" w:lineRule="exact"/>
    </w:pPr>
    <w:rPr>
      <w:rFonts w:ascii="宋体"/>
      <w:sz w:val="24"/>
    </w:rPr>
  </w:style>
  <w:style w:type="paragraph" w:styleId="15">
    <w:name w:val="Body Text Indent"/>
    <w:basedOn w:val="1"/>
    <w:next w:val="1"/>
    <w:qFormat/>
    <w:uiPriority w:val="0"/>
    <w:pPr>
      <w:spacing w:after="120"/>
      <w:ind w:left="420" w:leftChars="200"/>
    </w:pPr>
  </w:style>
  <w:style w:type="paragraph" w:styleId="16">
    <w:name w:val="toc 3"/>
    <w:basedOn w:val="1"/>
    <w:next w:val="1"/>
    <w:qFormat/>
    <w:uiPriority w:val="1"/>
    <w:pPr>
      <w:spacing w:before="186"/>
      <w:ind w:left="223"/>
    </w:pPr>
    <w:rPr>
      <w:sz w:val="28"/>
      <w:szCs w:val="28"/>
    </w:rPr>
  </w:style>
  <w:style w:type="paragraph" w:styleId="17">
    <w:name w:val="Plain Text"/>
    <w:basedOn w:val="1"/>
    <w:next w:val="1"/>
    <w:qFormat/>
    <w:uiPriority w:val="0"/>
    <w:rPr>
      <w:rFonts w:ascii="宋体" w:hAnsi="Courier New"/>
      <w:color w:val="000000"/>
      <w:szCs w:val="20"/>
    </w:rPr>
  </w:style>
  <w:style w:type="paragraph" w:styleId="18">
    <w:name w:val="Body Text Indent 2"/>
    <w:basedOn w:val="1"/>
    <w:qFormat/>
    <w:uiPriority w:val="0"/>
    <w:pPr>
      <w:spacing w:after="120" w:line="480" w:lineRule="auto"/>
      <w:ind w:left="420" w:leftChars="200"/>
    </w:pPr>
  </w:style>
  <w:style w:type="paragraph" w:styleId="19">
    <w:name w:val="footer"/>
    <w:basedOn w:val="1"/>
    <w:qFormat/>
    <w:uiPriority w:val="0"/>
    <w:pPr>
      <w:tabs>
        <w:tab w:val="center" w:pos="4153"/>
        <w:tab w:val="right" w:pos="8306"/>
      </w:tabs>
      <w:snapToGrid w:val="0"/>
    </w:pPr>
    <w:rPr>
      <w:sz w:val="18"/>
    </w:rPr>
  </w:style>
  <w:style w:type="paragraph" w:styleId="2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21">
    <w:name w:val="toc 1"/>
    <w:basedOn w:val="1"/>
    <w:next w:val="1"/>
    <w:qFormat/>
    <w:uiPriority w:val="1"/>
    <w:pPr>
      <w:spacing w:before="185"/>
      <w:ind w:right="58"/>
      <w:jc w:val="center"/>
    </w:pPr>
    <w:rPr>
      <w:sz w:val="30"/>
      <w:szCs w:val="30"/>
    </w:rPr>
  </w:style>
  <w:style w:type="paragraph" w:styleId="22">
    <w:name w:val="toc 4"/>
    <w:basedOn w:val="1"/>
    <w:next w:val="1"/>
    <w:qFormat/>
    <w:uiPriority w:val="1"/>
    <w:pPr>
      <w:ind w:left="1260" w:leftChars="600"/>
    </w:pPr>
  </w:style>
  <w:style w:type="paragraph" w:styleId="23">
    <w:name w:val="toc 2"/>
    <w:basedOn w:val="1"/>
    <w:next w:val="1"/>
    <w:qFormat/>
    <w:uiPriority w:val="1"/>
    <w:pPr>
      <w:spacing w:before="199"/>
      <w:ind w:right="62"/>
      <w:jc w:val="center"/>
    </w:pPr>
    <w:rPr>
      <w:sz w:val="28"/>
      <w:szCs w:val="28"/>
    </w:rPr>
  </w:style>
  <w:style w:type="paragraph" w:styleId="24">
    <w:name w:val="Body Text First Indent 2"/>
    <w:basedOn w:val="15"/>
    <w:qFormat/>
    <w:uiPriority w:val="0"/>
    <w:pPr>
      <w:ind w:left="0" w:leftChars="0" w:firstLine="960" w:firstLineChars="200"/>
    </w:pPr>
    <w:rPr>
      <w:kern w:val="0"/>
      <w:sz w:val="24"/>
      <w:szCs w:val="20"/>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Hyperlink"/>
    <w:basedOn w:val="27"/>
    <w:qFormat/>
    <w:uiPriority w:val="0"/>
    <w:rPr>
      <w:color w:val="0000FF"/>
      <w:u w:val="single"/>
    </w:rPr>
  </w:style>
  <w:style w:type="paragraph" w:customStyle="1" w:styleId="29">
    <w:name w:val="样式 宋体 行距: 1.5 倍行距"/>
    <w:basedOn w:val="30"/>
    <w:next w:val="1"/>
    <w:qFormat/>
    <w:uiPriority w:val="0"/>
    <w:pPr>
      <w:jc w:val="center"/>
    </w:pPr>
    <w:rPr>
      <w:rFonts w:ascii="Times New Roman" w:hAnsi="Times New Roman" w:eastAsia="宋体" w:cs="Times New Roman"/>
      <w:b/>
    </w:rPr>
  </w:style>
  <w:style w:type="paragraph" w:customStyle="1" w:styleId="30">
    <w:name w:val="正文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New"/>
    <w:next w:val="29"/>
    <w:qFormat/>
    <w:uiPriority w:val="0"/>
    <w:pPr>
      <w:widowControl w:val="0"/>
      <w:jc w:val="both"/>
    </w:pPr>
    <w:rPr>
      <w:rFonts w:ascii="Calibri" w:hAnsi="Calibri" w:eastAsia="宋体" w:cs="黑体"/>
      <w:kern w:val="2"/>
      <w:sz w:val="21"/>
      <w:szCs w:val="24"/>
      <w:lang w:val="en-US" w:eastAsia="zh-CN" w:bidi="ar-SA"/>
    </w:rPr>
  </w:style>
  <w:style w:type="paragraph" w:styleId="31">
    <w:name w:val="List Paragraph"/>
    <w:basedOn w:val="1"/>
    <w:qFormat/>
    <w:uiPriority w:val="1"/>
    <w:pPr>
      <w:ind w:left="438" w:firstLine="420"/>
    </w:pPr>
  </w:style>
  <w:style w:type="paragraph" w:customStyle="1" w:styleId="32">
    <w:name w:val="Table Paragraph"/>
    <w:basedOn w:val="1"/>
    <w:qFormat/>
    <w:uiPriority w:val="1"/>
  </w:style>
  <w:style w:type="character" w:customStyle="1" w:styleId="33">
    <w:name w:val="标题 3 字符"/>
    <w:basedOn w:val="27"/>
    <w:link w:val="5"/>
    <w:qFormat/>
    <w:uiPriority w:val="1"/>
    <w:rPr>
      <w:rFonts w:ascii="宋体" w:hAnsi="宋体" w:cs="宋体"/>
      <w:sz w:val="32"/>
      <w:szCs w:val="32"/>
      <w:lang w:val="zh-CN" w:bidi="zh-CN"/>
    </w:rPr>
  </w:style>
  <w:style w:type="character" w:customStyle="1" w:styleId="34">
    <w:name w:val="标题 6 字符"/>
    <w:basedOn w:val="27"/>
    <w:link w:val="8"/>
    <w:qFormat/>
    <w:uiPriority w:val="1"/>
    <w:rPr>
      <w:rFonts w:ascii="宋体" w:hAnsi="宋体" w:cs="宋体"/>
      <w:b/>
      <w:bCs/>
      <w:sz w:val="28"/>
      <w:szCs w:val="28"/>
      <w:lang w:val="zh-CN" w:bidi="zh-CN"/>
    </w:rPr>
  </w:style>
  <w:style w:type="table" w:customStyle="1" w:styleId="35">
    <w:name w:val="Table Normal"/>
    <w:semiHidden/>
    <w:unhideWhenUsed/>
    <w:qFormat/>
    <w:uiPriority w:val="2"/>
    <w:tblPr>
      <w:tblCellMar>
        <w:top w:w="0" w:type="dxa"/>
        <w:left w:w="0" w:type="dxa"/>
        <w:bottom w:w="0" w:type="dxa"/>
        <w:right w:w="0" w:type="dxa"/>
      </w:tblCellMar>
    </w:tblPr>
  </w:style>
  <w:style w:type="character" w:customStyle="1" w:styleId="36">
    <w:name w:val="font61"/>
    <w:basedOn w:val="27"/>
    <w:qFormat/>
    <w:uiPriority w:val="0"/>
    <w:rPr>
      <w:rFonts w:ascii="MingLiU" w:hAnsi="MingLiU" w:eastAsia="MingLiU" w:cs="MingLiU"/>
      <w:color w:val="000000"/>
      <w:sz w:val="16"/>
      <w:szCs w:val="16"/>
      <w:u w:val="none"/>
    </w:rPr>
  </w:style>
  <w:style w:type="character" w:customStyle="1" w:styleId="37">
    <w:name w:val="font21"/>
    <w:basedOn w:val="27"/>
    <w:qFormat/>
    <w:uiPriority w:val="0"/>
    <w:rPr>
      <w:rFonts w:hint="eastAsia" w:ascii="宋体" w:hAnsi="宋体" w:eastAsia="宋体" w:cs="宋体"/>
      <w:color w:val="000000"/>
      <w:sz w:val="16"/>
      <w:szCs w:val="16"/>
      <w:u w:val="none"/>
    </w:rPr>
  </w:style>
  <w:style w:type="character" w:customStyle="1" w:styleId="38">
    <w:name w:val="font41"/>
    <w:basedOn w:val="27"/>
    <w:qFormat/>
    <w:uiPriority w:val="0"/>
    <w:rPr>
      <w:rFonts w:ascii="MingLiU" w:hAnsi="MingLiU" w:eastAsia="MingLiU" w:cs="MingLiU"/>
      <w:color w:val="000000"/>
      <w:sz w:val="16"/>
      <w:szCs w:val="16"/>
      <w:u w:val="none"/>
    </w:rPr>
  </w:style>
  <w:style w:type="character" w:customStyle="1" w:styleId="39">
    <w:name w:val="标题 3 Char"/>
    <w:basedOn w:val="27"/>
    <w:link w:val="5"/>
    <w:qFormat/>
    <w:uiPriority w:val="0"/>
    <w:rPr>
      <w:rFonts w:eastAsia="宋体"/>
      <w:b/>
      <w:bCs/>
      <w:sz w:val="28"/>
      <w:szCs w:val="32"/>
    </w:rPr>
  </w:style>
  <w:style w:type="paragraph" w:customStyle="1" w:styleId="40">
    <w:name w:val="正文文本 (2)1"/>
    <w:qFormat/>
    <w:uiPriority w:val="99"/>
    <w:pPr>
      <w:widowControl w:val="0"/>
      <w:shd w:val="clear" w:color="auto" w:fill="FFFFFF"/>
      <w:spacing w:before="300" w:line="439" w:lineRule="exact"/>
      <w:jc w:val="distribute"/>
    </w:pPr>
    <w:rPr>
      <w:rFonts w:ascii="MingLiU" w:hAnsi="Calibri" w:eastAsia="MingLiU" w:cs="Times New Roman"/>
      <w:spacing w:val="20"/>
      <w:sz w:val="22"/>
      <w:lang w:val="en-US" w:eastAsia="zh-CN" w:bidi="ar-SA"/>
    </w:rPr>
  </w:style>
  <w:style w:type="paragraph" w:customStyle="1" w:styleId="41">
    <w:name w:val="正文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42">
    <w:name w:val="正文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43">
    <w:name w:val="样式 标题 2 + Times New Roman 四号 非加粗 段前: 5 磅 段后: 0 磅 行距: 固定值 20..."/>
    <w:basedOn w:val="4"/>
    <w:next w:val="1"/>
    <w:qFormat/>
    <w:uiPriority w:val="0"/>
    <w:pPr>
      <w:spacing w:before="100" w:beforeLines="0" w:after="0" w:afterLines="0" w:line="400" w:lineRule="exact"/>
    </w:pPr>
    <w:rPr>
      <w:rFonts w:ascii="Times New Roman" w:hAnsi="Times New Roman" w:eastAsia="宋体"/>
      <w:kern w:val="0"/>
      <w:sz w:val="28"/>
      <w:szCs w:val="20"/>
    </w:rPr>
  </w:style>
  <w:style w:type="paragraph" w:customStyle="1" w:styleId="44">
    <w:name w:val="正文 New New New New New New New New New New"/>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Table Text"/>
    <w:basedOn w:val="1"/>
    <w:semiHidden/>
    <w:qFormat/>
    <w:uiPriority w:val="0"/>
    <w:rPr>
      <w:rFonts w:ascii="宋体" w:hAnsi="宋体" w:eastAsia="宋体" w:cs="宋体"/>
      <w:sz w:val="19"/>
      <w:szCs w:val="19"/>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3" Type="http://schemas.openxmlformats.org/officeDocument/2006/relationships/fontTable" Target="fontTable.xml"/><Relationship Id="rId32" Type="http://schemas.openxmlformats.org/officeDocument/2006/relationships/customXml" Target="../customXml/item2.xml"/><Relationship Id="rId31" Type="http://schemas.openxmlformats.org/officeDocument/2006/relationships/numbering" Target="numbering.xml"/><Relationship Id="rId30" Type="http://schemas.openxmlformats.org/officeDocument/2006/relationships/customXml" Target="../customXml/item1.xml"/><Relationship Id="rId3" Type="http://schemas.openxmlformats.org/officeDocument/2006/relationships/header" Target="header1.xml"/><Relationship Id="rId29" Type="http://schemas.openxmlformats.org/officeDocument/2006/relationships/theme" Target="theme/theme1.xml"/><Relationship Id="rId28" Type="http://schemas.openxmlformats.org/officeDocument/2006/relationships/footer" Target="footer19.xml"/><Relationship Id="rId27" Type="http://schemas.openxmlformats.org/officeDocument/2006/relationships/footer" Target="footer18.xml"/><Relationship Id="rId26" Type="http://schemas.openxmlformats.org/officeDocument/2006/relationships/footer" Target="footer17.xml"/><Relationship Id="rId25" Type="http://schemas.openxmlformats.org/officeDocument/2006/relationships/footer" Target="footer16.xml"/><Relationship Id="rId24" Type="http://schemas.openxmlformats.org/officeDocument/2006/relationships/header" Target="header7.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header" Target="header6.xml"/><Relationship Id="rId18" Type="http://schemas.openxmlformats.org/officeDocument/2006/relationships/footer" Target="footer11.xml"/><Relationship Id="rId17" Type="http://schemas.openxmlformats.org/officeDocument/2006/relationships/header" Target="header5.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6D8C58-9489-447D-9009-FF5D78332E3B}">
  <ds:schemaRefs/>
</ds:datastoreItem>
</file>

<file path=docProps/app.xml><?xml version="1.0" encoding="utf-8"?>
<Properties xmlns="http://schemas.openxmlformats.org/officeDocument/2006/extended-properties" xmlns:vt="http://schemas.openxmlformats.org/officeDocument/2006/docPropsVTypes">
  <Template>Normal</Template>
  <Pages>138</Pages>
  <Words>76572</Words>
  <Characters>81078</Characters>
  <Lines>730</Lines>
  <Paragraphs>205</Paragraphs>
  <TotalTime>17</TotalTime>
  <ScaleCrop>false</ScaleCrop>
  <LinksUpToDate>false</LinksUpToDate>
  <CharactersWithSpaces>81447</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sunny</cp:lastModifiedBy>
  <cp:lastPrinted>2024-06-24T03:24:00Z</cp:lastPrinted>
  <dcterms:modified xsi:type="dcterms:W3CDTF">2024-06-25T08:29:08Z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4F79C2301C1844A294C0CB1D5E60ADBA_13</vt:lpwstr>
  </property>
</Properties>
</file>